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DAAD" w14:textId="18133FCC" w:rsidR="00260ACA" w:rsidRPr="00156E0C" w:rsidRDefault="0017112F" w:rsidP="00260ACA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Cahier des charges </w:t>
      </w:r>
      <w:r w:rsidR="00911B60">
        <w:rPr>
          <w:rFonts w:ascii="Arial" w:hAnsi="Arial" w:cs="Arial"/>
          <w:b/>
          <w:bCs/>
          <w:sz w:val="20"/>
          <w:szCs w:val="20"/>
        </w:rPr>
        <w:t>É</w:t>
      </w:r>
      <w:r w:rsidR="00F95C42">
        <w:rPr>
          <w:rFonts w:ascii="Arial" w:hAnsi="Arial" w:cs="Arial"/>
          <w:b/>
          <w:bCs/>
          <w:sz w:val="20"/>
          <w:szCs w:val="20"/>
        </w:rPr>
        <w:t>cole ouverte buissonnière</w:t>
      </w:r>
    </w:p>
    <w:p w14:paraId="465FDE3D" w14:textId="217D9091" w:rsidR="00785D47" w:rsidRPr="00156E0C" w:rsidRDefault="00E2544D" w:rsidP="00260ACA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="00785D47" w:rsidRPr="00156E0C">
        <w:rPr>
          <w:rFonts w:ascii="Arial" w:hAnsi="Arial" w:cs="Arial"/>
          <w:b/>
          <w:bCs/>
          <w:sz w:val="20"/>
          <w:szCs w:val="20"/>
        </w:rPr>
        <w:t>léments en complément de</w:t>
      </w:r>
      <w:r w:rsidR="002535B7" w:rsidRPr="00156E0C">
        <w:rPr>
          <w:rFonts w:ascii="Arial" w:hAnsi="Arial" w:cs="Arial"/>
          <w:b/>
          <w:bCs/>
          <w:sz w:val="20"/>
          <w:szCs w:val="20"/>
        </w:rPr>
        <w:t xml:space="preserve"> l’instruction </w:t>
      </w:r>
      <w:r w:rsidR="00785D47" w:rsidRPr="00156E0C">
        <w:rPr>
          <w:rFonts w:ascii="Arial" w:hAnsi="Arial" w:cs="Arial"/>
          <w:b/>
          <w:bCs/>
          <w:sz w:val="20"/>
          <w:szCs w:val="20"/>
        </w:rPr>
        <w:t xml:space="preserve"> </w:t>
      </w:r>
      <w:r w:rsidR="00911B60">
        <w:rPr>
          <w:rFonts w:ascii="Arial" w:hAnsi="Arial" w:cs="Arial"/>
          <w:b/>
          <w:bCs/>
          <w:sz w:val="20"/>
          <w:szCs w:val="20"/>
        </w:rPr>
        <w:t>É</w:t>
      </w:r>
      <w:r w:rsidR="00785D47" w:rsidRPr="00156E0C">
        <w:rPr>
          <w:rFonts w:ascii="Arial" w:hAnsi="Arial" w:cs="Arial"/>
          <w:b/>
          <w:bCs/>
          <w:sz w:val="20"/>
          <w:szCs w:val="20"/>
        </w:rPr>
        <w:t>cole ouverte</w:t>
      </w:r>
    </w:p>
    <w:p w14:paraId="66DD9742" w14:textId="6FB17BCA" w:rsidR="00260ACA" w:rsidRPr="0028372D" w:rsidRDefault="00281CFA" w:rsidP="00260ACA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28372D">
        <w:rPr>
          <w:rFonts w:ascii="Arial" w:hAnsi="Arial" w:cs="Arial"/>
          <w:b/>
          <w:bCs/>
          <w:sz w:val="20"/>
          <w:szCs w:val="20"/>
        </w:rPr>
        <w:t>Principe</w:t>
      </w:r>
    </w:p>
    <w:p w14:paraId="5E00BBA8" w14:textId="194BEBFE" w:rsidR="00785D47" w:rsidRDefault="00785D47" w:rsidP="00834832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6E0C">
        <w:rPr>
          <w:rFonts w:ascii="Arial" w:hAnsi="Arial" w:cs="Arial"/>
          <w:bCs/>
          <w:sz w:val="20"/>
          <w:szCs w:val="20"/>
        </w:rPr>
        <w:t xml:space="preserve">Dans le cadre du dispositif vacances apprenantes, </w:t>
      </w:r>
      <w:r w:rsidR="00F95C42">
        <w:rPr>
          <w:rFonts w:ascii="Arial" w:hAnsi="Arial" w:cs="Arial"/>
          <w:bCs/>
          <w:sz w:val="20"/>
          <w:szCs w:val="20"/>
        </w:rPr>
        <w:t>Ecole ouverte buissonnière</w:t>
      </w:r>
      <w:r w:rsidRPr="00156E0C">
        <w:rPr>
          <w:rFonts w:ascii="Arial" w:hAnsi="Arial" w:cs="Arial"/>
          <w:bCs/>
          <w:sz w:val="20"/>
          <w:szCs w:val="20"/>
        </w:rPr>
        <w:t xml:space="preserve"> permet de proposer un séjour </w:t>
      </w:r>
      <w:r w:rsidR="00281CFA">
        <w:rPr>
          <w:rFonts w:ascii="Arial" w:hAnsi="Arial" w:cs="Arial"/>
          <w:bCs/>
          <w:sz w:val="20"/>
          <w:szCs w:val="20"/>
        </w:rPr>
        <w:t>en zone rurale</w:t>
      </w:r>
      <w:r w:rsidR="00281CFA" w:rsidRPr="00156E0C">
        <w:rPr>
          <w:rFonts w:ascii="Arial" w:hAnsi="Arial" w:cs="Arial"/>
          <w:bCs/>
          <w:sz w:val="20"/>
          <w:szCs w:val="20"/>
        </w:rPr>
        <w:t xml:space="preserve"> </w:t>
      </w:r>
      <w:r w:rsidRPr="00156E0C">
        <w:rPr>
          <w:rFonts w:ascii="Arial" w:hAnsi="Arial" w:cs="Arial"/>
          <w:bCs/>
          <w:sz w:val="20"/>
          <w:szCs w:val="20"/>
        </w:rPr>
        <w:t xml:space="preserve">à des participants au dispositif </w:t>
      </w:r>
      <w:r w:rsidR="005A3817">
        <w:rPr>
          <w:rFonts w:ascii="Arial" w:hAnsi="Arial" w:cs="Arial"/>
          <w:bCs/>
          <w:sz w:val="20"/>
          <w:szCs w:val="20"/>
        </w:rPr>
        <w:t>E</w:t>
      </w:r>
      <w:r w:rsidRPr="00156E0C">
        <w:rPr>
          <w:rFonts w:ascii="Arial" w:hAnsi="Arial" w:cs="Arial"/>
          <w:bCs/>
          <w:sz w:val="20"/>
          <w:szCs w:val="20"/>
        </w:rPr>
        <w:t xml:space="preserve">cole ouverte </w:t>
      </w:r>
      <w:r w:rsidR="007326C1" w:rsidRPr="00156E0C">
        <w:rPr>
          <w:rFonts w:ascii="Arial" w:hAnsi="Arial" w:cs="Arial"/>
          <w:bCs/>
          <w:sz w:val="20"/>
          <w:szCs w:val="20"/>
        </w:rPr>
        <w:t xml:space="preserve">afin </w:t>
      </w:r>
      <w:r w:rsidR="00281CFA">
        <w:rPr>
          <w:rFonts w:ascii="Arial" w:hAnsi="Arial" w:cs="Arial"/>
          <w:bCs/>
          <w:sz w:val="20"/>
          <w:szCs w:val="20"/>
        </w:rPr>
        <w:t xml:space="preserve">qu’ils bénéficient de </w:t>
      </w:r>
      <w:r w:rsidR="007326C1" w:rsidRPr="00156E0C">
        <w:rPr>
          <w:rFonts w:ascii="Arial" w:hAnsi="Arial" w:cs="Arial"/>
          <w:bCs/>
          <w:sz w:val="20"/>
          <w:szCs w:val="20"/>
        </w:rPr>
        <w:t>vacances éducatives</w:t>
      </w:r>
      <w:r w:rsidR="00281CFA">
        <w:rPr>
          <w:rFonts w:ascii="Arial" w:hAnsi="Arial" w:cs="Arial"/>
          <w:bCs/>
          <w:sz w:val="20"/>
          <w:szCs w:val="20"/>
        </w:rPr>
        <w:t xml:space="preserve"> au contact de la nature</w:t>
      </w:r>
      <w:r w:rsidR="007326C1" w:rsidRPr="00156E0C">
        <w:rPr>
          <w:rFonts w:ascii="Arial" w:hAnsi="Arial" w:cs="Arial"/>
          <w:bCs/>
          <w:sz w:val="20"/>
          <w:szCs w:val="20"/>
        </w:rPr>
        <w:t>.</w:t>
      </w:r>
    </w:p>
    <w:p w14:paraId="5D2BFF76" w14:textId="77777777" w:rsidR="007326C1" w:rsidRPr="00156E0C" w:rsidRDefault="007326C1" w:rsidP="00834832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F42D20" w14:textId="0DFBAC93" w:rsidR="007326C1" w:rsidRPr="00156E0C" w:rsidRDefault="007326C1" w:rsidP="0083483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6E0C">
        <w:rPr>
          <w:rFonts w:ascii="Arial" w:hAnsi="Arial" w:cs="Arial"/>
          <w:b/>
          <w:bCs/>
          <w:sz w:val="20"/>
          <w:szCs w:val="20"/>
        </w:rPr>
        <w:t>Cadre juridique</w:t>
      </w:r>
      <w:r w:rsidR="00450823">
        <w:rPr>
          <w:rFonts w:ascii="Arial" w:hAnsi="Arial" w:cs="Arial"/>
          <w:b/>
          <w:bCs/>
          <w:sz w:val="20"/>
          <w:szCs w:val="20"/>
        </w:rPr>
        <w:t>,</w:t>
      </w:r>
      <w:r w:rsidRPr="00156E0C">
        <w:rPr>
          <w:rFonts w:ascii="Arial" w:hAnsi="Arial" w:cs="Arial"/>
          <w:b/>
          <w:bCs/>
          <w:sz w:val="20"/>
          <w:szCs w:val="20"/>
        </w:rPr>
        <w:t xml:space="preserve"> </w:t>
      </w:r>
      <w:r w:rsidR="00EA0FC5">
        <w:rPr>
          <w:rFonts w:ascii="Arial" w:hAnsi="Arial" w:cs="Arial"/>
          <w:b/>
          <w:bCs/>
          <w:sz w:val="20"/>
          <w:szCs w:val="20"/>
        </w:rPr>
        <w:t>responsabilité </w:t>
      </w:r>
      <w:r w:rsidR="00712DDF">
        <w:rPr>
          <w:rFonts w:ascii="Arial" w:hAnsi="Arial" w:cs="Arial"/>
          <w:b/>
          <w:bCs/>
          <w:sz w:val="20"/>
          <w:szCs w:val="20"/>
        </w:rPr>
        <w:t>et qualité des intervenants</w:t>
      </w:r>
      <w:r w:rsidR="00EA0FC5">
        <w:rPr>
          <w:rFonts w:ascii="Arial" w:hAnsi="Arial" w:cs="Arial"/>
          <w:b/>
          <w:bCs/>
          <w:sz w:val="20"/>
          <w:szCs w:val="20"/>
        </w:rPr>
        <w:t>:</w:t>
      </w:r>
    </w:p>
    <w:p w14:paraId="67A57DCC" w14:textId="77777777" w:rsidR="002E32C8" w:rsidRDefault="002E32C8" w:rsidP="002E32C8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directeurs d’école en lien avec l’IEN et les</w:t>
      </w:r>
      <w:r w:rsidRPr="00156E0C">
        <w:rPr>
          <w:rFonts w:ascii="Arial" w:hAnsi="Arial" w:cs="Arial"/>
          <w:bCs/>
          <w:sz w:val="20"/>
          <w:szCs w:val="20"/>
        </w:rPr>
        <w:t xml:space="preserve"> chefs d’établissement proposent une formule qui associe à une période de remobilisation des connaissances, une phase consacrée à des excursions en pleine nature. </w:t>
      </w:r>
    </w:p>
    <w:p w14:paraId="52D7E249" w14:textId="3104717E" w:rsidR="002E32C8" w:rsidRPr="00156E0C" w:rsidRDefault="002E32C8" w:rsidP="002E32C8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6E0C">
        <w:rPr>
          <w:rFonts w:ascii="Arial" w:hAnsi="Arial" w:cs="Arial"/>
          <w:bCs/>
          <w:sz w:val="20"/>
          <w:szCs w:val="20"/>
        </w:rPr>
        <w:t>Cela se traduit soit par une organisation directe (</w:t>
      </w:r>
      <w:r>
        <w:rPr>
          <w:rFonts w:ascii="Arial" w:hAnsi="Arial" w:cs="Arial"/>
          <w:bCs/>
          <w:sz w:val="20"/>
          <w:szCs w:val="20"/>
        </w:rPr>
        <w:t>pour un EPLE</w:t>
      </w:r>
      <w:r w:rsidRPr="00156E0C">
        <w:rPr>
          <w:rFonts w:ascii="Arial" w:hAnsi="Arial" w:cs="Arial"/>
          <w:bCs/>
          <w:sz w:val="20"/>
          <w:szCs w:val="20"/>
        </w:rPr>
        <w:t xml:space="preserve">), soit par une délégation à un partenaire associatif ayant l’expérience des classes transplantées </w:t>
      </w:r>
      <w:r w:rsidRPr="00B24990">
        <w:rPr>
          <w:rFonts w:ascii="Arial" w:hAnsi="Arial" w:cs="Arial"/>
          <w:bCs/>
          <w:sz w:val="20"/>
          <w:szCs w:val="20"/>
          <w:u w:val="single"/>
        </w:rPr>
        <w:t>avec hébergement</w:t>
      </w:r>
      <w:r w:rsidRPr="00156E0C">
        <w:rPr>
          <w:rFonts w:ascii="Arial" w:hAnsi="Arial" w:cs="Arial"/>
          <w:bCs/>
          <w:sz w:val="20"/>
          <w:szCs w:val="20"/>
        </w:rPr>
        <w:t xml:space="preserve"> (déclaration à faire au titre des ACM</w:t>
      </w:r>
      <w:r>
        <w:rPr>
          <w:rFonts w:ascii="Arial" w:hAnsi="Arial" w:cs="Arial"/>
          <w:bCs/>
          <w:sz w:val="20"/>
          <w:szCs w:val="20"/>
        </w:rPr>
        <w:t>, accueils collectifs de mineurs,</w:t>
      </w:r>
      <w:r w:rsidRPr="00156E0C">
        <w:rPr>
          <w:rFonts w:ascii="Arial" w:hAnsi="Arial" w:cs="Arial"/>
          <w:bCs/>
          <w:sz w:val="20"/>
          <w:szCs w:val="20"/>
        </w:rPr>
        <w:t xml:space="preserve"> le cas échéant).</w:t>
      </w:r>
      <w:r>
        <w:rPr>
          <w:rFonts w:ascii="Arial" w:hAnsi="Arial" w:cs="Arial"/>
          <w:bCs/>
          <w:sz w:val="20"/>
          <w:szCs w:val="20"/>
        </w:rPr>
        <w:t xml:space="preserve"> Pour les écoles, la délégation</w:t>
      </w:r>
      <w:r w:rsidRPr="00156E0C">
        <w:rPr>
          <w:rFonts w:ascii="Arial" w:hAnsi="Arial" w:cs="Arial"/>
          <w:bCs/>
          <w:sz w:val="20"/>
          <w:szCs w:val="20"/>
        </w:rPr>
        <w:t xml:space="preserve"> </w:t>
      </w:r>
      <w:r w:rsidRPr="005F1A10">
        <w:rPr>
          <w:rFonts w:ascii="Arial" w:hAnsi="Arial" w:cs="Arial"/>
          <w:bCs/>
          <w:sz w:val="20"/>
          <w:szCs w:val="20"/>
        </w:rPr>
        <w:t>à un partenaire associatif</w:t>
      </w:r>
      <w:r>
        <w:rPr>
          <w:rFonts w:ascii="Arial" w:hAnsi="Arial" w:cs="Arial"/>
          <w:bCs/>
          <w:sz w:val="20"/>
          <w:szCs w:val="20"/>
        </w:rPr>
        <w:t xml:space="preserve"> est la modalité de mise en œuvre, </w:t>
      </w:r>
      <w:r w:rsidRPr="005F1A10">
        <w:rPr>
          <w:rFonts w:ascii="Arial" w:hAnsi="Arial" w:cs="Arial"/>
          <w:bCs/>
          <w:sz w:val="20"/>
          <w:szCs w:val="20"/>
        </w:rPr>
        <w:t>les services départementaux de l’éducation nationale e</w:t>
      </w:r>
      <w:r>
        <w:rPr>
          <w:rFonts w:ascii="Arial" w:hAnsi="Arial" w:cs="Arial"/>
          <w:bCs/>
          <w:sz w:val="20"/>
          <w:szCs w:val="20"/>
        </w:rPr>
        <w:t>t les DDCS repèrent</w:t>
      </w:r>
      <w:r w:rsidR="004A7BD5">
        <w:rPr>
          <w:rFonts w:ascii="Arial" w:hAnsi="Arial" w:cs="Arial"/>
          <w:bCs/>
          <w:sz w:val="20"/>
          <w:szCs w:val="20"/>
        </w:rPr>
        <w:t xml:space="preserve"> et </w:t>
      </w:r>
      <w:r>
        <w:rPr>
          <w:rFonts w:ascii="Arial" w:hAnsi="Arial" w:cs="Arial"/>
          <w:bCs/>
          <w:sz w:val="20"/>
          <w:szCs w:val="20"/>
        </w:rPr>
        <w:t>mobilisent</w:t>
      </w:r>
      <w:r w:rsidRPr="005F1A10">
        <w:rPr>
          <w:rFonts w:ascii="Arial" w:hAnsi="Arial" w:cs="Arial"/>
          <w:bCs/>
          <w:sz w:val="20"/>
          <w:szCs w:val="20"/>
        </w:rPr>
        <w:t xml:space="preserve"> les partenaires associatifs</w:t>
      </w:r>
      <w:r>
        <w:rPr>
          <w:rFonts w:ascii="Arial" w:hAnsi="Arial" w:cs="Arial"/>
          <w:bCs/>
          <w:sz w:val="20"/>
          <w:szCs w:val="20"/>
        </w:rPr>
        <w:t>, le DASEN formalise l’intervention du partenaire par convention.</w:t>
      </w:r>
    </w:p>
    <w:p w14:paraId="65563E27" w14:textId="116C979F" w:rsidR="005A4420" w:rsidRPr="0028372D" w:rsidRDefault="00C759F5" w:rsidP="005A4420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8372D">
        <w:rPr>
          <w:rFonts w:ascii="Arial" w:hAnsi="Arial" w:cs="Arial"/>
          <w:bCs/>
          <w:sz w:val="20"/>
          <w:szCs w:val="20"/>
        </w:rPr>
        <w:t>Afin d’accompagner</w:t>
      </w:r>
      <w:r w:rsidR="005A4420" w:rsidRPr="0028372D">
        <w:rPr>
          <w:rFonts w:ascii="Arial" w:hAnsi="Arial" w:cs="Arial"/>
          <w:bCs/>
          <w:sz w:val="20"/>
          <w:szCs w:val="20"/>
        </w:rPr>
        <w:t xml:space="preserve"> les</w:t>
      </w:r>
      <w:r w:rsidR="000851AC" w:rsidRPr="0028372D">
        <w:rPr>
          <w:rFonts w:ascii="Arial" w:hAnsi="Arial" w:cs="Arial"/>
          <w:bCs/>
          <w:sz w:val="20"/>
          <w:szCs w:val="20"/>
        </w:rPr>
        <w:t xml:space="preserve"> communes volontaires pour mettre à dispo</w:t>
      </w:r>
      <w:r w:rsidR="00EA0FC5" w:rsidRPr="0028372D">
        <w:rPr>
          <w:rFonts w:ascii="Arial" w:hAnsi="Arial" w:cs="Arial"/>
          <w:bCs/>
          <w:sz w:val="20"/>
          <w:szCs w:val="20"/>
        </w:rPr>
        <w:t>sition des locaux communaux permettant</w:t>
      </w:r>
      <w:r w:rsidR="000851AC" w:rsidRPr="0028372D">
        <w:rPr>
          <w:rFonts w:ascii="Arial" w:hAnsi="Arial" w:cs="Arial"/>
          <w:bCs/>
          <w:sz w:val="20"/>
          <w:szCs w:val="20"/>
        </w:rPr>
        <w:t xml:space="preserve"> d’accueillir des élèves bénéficiaires du dispositif Ecole ouverte </w:t>
      </w:r>
      <w:r w:rsidR="00F95C42">
        <w:rPr>
          <w:rFonts w:ascii="Arial" w:hAnsi="Arial" w:cs="Arial"/>
          <w:bCs/>
          <w:sz w:val="20"/>
          <w:szCs w:val="20"/>
        </w:rPr>
        <w:t>buissonnière</w:t>
      </w:r>
      <w:r w:rsidR="000851AC" w:rsidRPr="0028372D">
        <w:rPr>
          <w:rFonts w:ascii="Arial" w:hAnsi="Arial" w:cs="Arial"/>
          <w:bCs/>
          <w:sz w:val="20"/>
          <w:szCs w:val="20"/>
        </w:rPr>
        <w:t xml:space="preserve">, </w:t>
      </w:r>
      <w:r w:rsidR="005A4420" w:rsidRPr="0028372D">
        <w:rPr>
          <w:rFonts w:ascii="Arial" w:hAnsi="Arial" w:cs="Arial"/>
          <w:bCs/>
          <w:sz w:val="20"/>
          <w:szCs w:val="20"/>
        </w:rPr>
        <w:t xml:space="preserve">il est </w:t>
      </w:r>
      <w:r w:rsidR="00EB0C24" w:rsidRPr="0028372D">
        <w:rPr>
          <w:rFonts w:ascii="Arial" w:hAnsi="Arial" w:cs="Arial"/>
          <w:bCs/>
          <w:sz w:val="20"/>
          <w:szCs w:val="20"/>
        </w:rPr>
        <w:t xml:space="preserve">précisé que le régime de responsabilité </w:t>
      </w:r>
      <w:r w:rsidR="00AB7BE2" w:rsidRPr="0028372D">
        <w:rPr>
          <w:rFonts w:ascii="Arial" w:hAnsi="Arial" w:cs="Arial"/>
          <w:bCs/>
          <w:sz w:val="20"/>
          <w:szCs w:val="20"/>
        </w:rPr>
        <w:t xml:space="preserve">est identique à </w:t>
      </w:r>
      <w:r w:rsidR="00EB0C24" w:rsidRPr="0028372D">
        <w:rPr>
          <w:rFonts w:ascii="Arial" w:hAnsi="Arial" w:cs="Arial"/>
          <w:bCs/>
          <w:sz w:val="20"/>
          <w:szCs w:val="20"/>
        </w:rPr>
        <w:t>celui applicable à Ecole ouverte</w:t>
      </w:r>
      <w:r w:rsidR="00AB7BE2" w:rsidRPr="0028372D">
        <w:rPr>
          <w:rFonts w:ascii="Arial" w:hAnsi="Arial" w:cs="Arial"/>
          <w:bCs/>
          <w:sz w:val="20"/>
          <w:szCs w:val="20"/>
        </w:rPr>
        <w:t xml:space="preserve"> : </w:t>
      </w:r>
      <w:r w:rsidR="005A4420" w:rsidRPr="0028372D">
        <w:rPr>
          <w:rFonts w:ascii="Arial" w:hAnsi="Arial" w:cs="Arial"/>
          <w:bCs/>
          <w:sz w:val="20"/>
          <w:szCs w:val="20"/>
        </w:rPr>
        <w:t xml:space="preserve">la commune d’accueil n’étant chargée ni de l’organisation, ni de la surveillance du dispositif, en mettant à disposition ses équipements ou biens, dans des conditions fixées par convention, </w:t>
      </w:r>
      <w:r w:rsidR="00EA0FC5" w:rsidRPr="0028372D">
        <w:rPr>
          <w:rFonts w:ascii="Arial" w:hAnsi="Arial" w:cs="Arial"/>
          <w:bCs/>
          <w:sz w:val="20"/>
          <w:szCs w:val="20"/>
        </w:rPr>
        <w:t xml:space="preserve">elle ne pourra être responsable que des dommages causés </w:t>
      </w:r>
      <w:r w:rsidR="001A1B12" w:rsidRPr="0028372D">
        <w:rPr>
          <w:rFonts w:ascii="Arial" w:hAnsi="Arial" w:cs="Arial"/>
          <w:bCs/>
          <w:sz w:val="20"/>
          <w:szCs w:val="20"/>
        </w:rPr>
        <w:t xml:space="preserve">par </w:t>
      </w:r>
      <w:r w:rsidR="00EA0FC5" w:rsidRPr="0028372D">
        <w:rPr>
          <w:rFonts w:ascii="Arial" w:hAnsi="Arial" w:cs="Arial"/>
          <w:bCs/>
          <w:sz w:val="20"/>
          <w:szCs w:val="20"/>
        </w:rPr>
        <w:t>ses biens propres</w:t>
      </w:r>
      <w:r w:rsidR="005A4420" w:rsidRPr="0028372D">
        <w:rPr>
          <w:rFonts w:ascii="Arial" w:hAnsi="Arial" w:cs="Arial"/>
          <w:bCs/>
          <w:sz w:val="20"/>
          <w:szCs w:val="20"/>
        </w:rPr>
        <w:t>. Sauf cette hypothèse</w:t>
      </w:r>
      <w:r w:rsidR="00EA0FC5" w:rsidRPr="0028372D">
        <w:rPr>
          <w:rFonts w:ascii="Arial" w:hAnsi="Arial" w:cs="Arial"/>
          <w:bCs/>
          <w:sz w:val="20"/>
          <w:szCs w:val="20"/>
        </w:rPr>
        <w:t>,</w:t>
      </w:r>
      <w:r w:rsidR="005A4420" w:rsidRPr="0028372D">
        <w:rPr>
          <w:rFonts w:ascii="Arial" w:hAnsi="Arial" w:cs="Arial"/>
          <w:bCs/>
          <w:sz w:val="20"/>
          <w:szCs w:val="20"/>
        </w:rPr>
        <w:t xml:space="preserve"> c’est la responsabilité de l’EPLE organisateur </w:t>
      </w:r>
      <w:r w:rsidR="00EA0FC5" w:rsidRPr="0028372D">
        <w:rPr>
          <w:rFonts w:ascii="Arial" w:hAnsi="Arial" w:cs="Arial"/>
          <w:bCs/>
          <w:sz w:val="20"/>
          <w:szCs w:val="20"/>
        </w:rPr>
        <w:t xml:space="preserve">ou du partenaire associatif délégataire de l’EPLE </w:t>
      </w:r>
      <w:r w:rsidR="005A4420" w:rsidRPr="0028372D">
        <w:rPr>
          <w:rFonts w:ascii="Arial" w:hAnsi="Arial" w:cs="Arial"/>
          <w:bCs/>
          <w:sz w:val="20"/>
          <w:szCs w:val="20"/>
        </w:rPr>
        <w:t>qui sera mise en jeu</w:t>
      </w:r>
      <w:r w:rsidR="00EA0FC5" w:rsidRPr="0028372D">
        <w:rPr>
          <w:rFonts w:ascii="Arial" w:hAnsi="Arial" w:cs="Arial"/>
          <w:bCs/>
          <w:sz w:val="20"/>
          <w:szCs w:val="20"/>
        </w:rPr>
        <w:t xml:space="preserve"> en cas d’un éventuel défaut de surveillance ou d’organisation.</w:t>
      </w:r>
      <w:r w:rsidR="005A4420" w:rsidRPr="0028372D">
        <w:rPr>
          <w:rFonts w:ascii="Arial" w:hAnsi="Arial" w:cs="Arial"/>
          <w:bCs/>
          <w:sz w:val="20"/>
          <w:szCs w:val="20"/>
        </w:rPr>
        <w:t xml:space="preserve"> En outre, compte tenu de l’objet clairement éducatif du dispositif, la responsabilité de l’Etat pourra être engagée sur le fondement de l’article L. 911-4 du code de l’éducation, comme c’est le cas pour les voyages scolaires ou événements sportifs organisés par un établissement</w:t>
      </w:r>
      <w:r w:rsidR="00EA0FC5" w:rsidRPr="0028372D">
        <w:rPr>
          <w:rFonts w:ascii="Arial" w:hAnsi="Arial" w:cs="Arial"/>
          <w:bCs/>
          <w:sz w:val="20"/>
          <w:szCs w:val="20"/>
        </w:rPr>
        <w:t>.</w:t>
      </w:r>
    </w:p>
    <w:p w14:paraId="608D6FC8" w14:textId="2EC635F9" w:rsidR="00712DDF" w:rsidRDefault="00712DDF" w:rsidP="00712DDF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8372D">
        <w:rPr>
          <w:rFonts w:ascii="Arial" w:hAnsi="Arial" w:cs="Arial"/>
          <w:bCs/>
          <w:sz w:val="20"/>
          <w:szCs w:val="20"/>
        </w:rPr>
        <w:t>Les modalités de vérification de l’honorabilité des intervenants est identique à celle s’appliquant à Ecole ouverte</w:t>
      </w:r>
      <w:r w:rsidR="0017112F" w:rsidRPr="0028372D">
        <w:rPr>
          <w:rFonts w:ascii="Arial" w:hAnsi="Arial" w:cs="Arial"/>
          <w:bCs/>
          <w:sz w:val="20"/>
          <w:szCs w:val="20"/>
        </w:rPr>
        <w:t xml:space="preserve">. La </w:t>
      </w:r>
      <w:r w:rsidRPr="0028372D">
        <w:rPr>
          <w:rFonts w:ascii="Arial" w:hAnsi="Arial" w:cs="Arial"/>
          <w:bCs/>
          <w:sz w:val="20"/>
          <w:szCs w:val="20"/>
        </w:rPr>
        <w:t xml:space="preserve">vérification de l’honorabilité des intervenants autres que les personnels de l’éducation nationale est </w:t>
      </w:r>
      <w:r w:rsidR="00653457" w:rsidRPr="0028372D">
        <w:rPr>
          <w:rFonts w:ascii="Arial" w:hAnsi="Arial" w:cs="Arial"/>
          <w:bCs/>
          <w:sz w:val="20"/>
          <w:szCs w:val="20"/>
        </w:rPr>
        <w:t>effectuée</w:t>
      </w:r>
      <w:r w:rsidRPr="0028372D">
        <w:rPr>
          <w:rFonts w:ascii="Arial" w:hAnsi="Arial" w:cs="Arial"/>
          <w:bCs/>
          <w:sz w:val="20"/>
          <w:szCs w:val="20"/>
        </w:rPr>
        <w:t xml:space="preserve"> par les agents habilités des services académiques, notamment par l’interrogation du fichier judiciaire automatisé des auteurs d'infractions sexuelles ou violentes (FIJAISV)</w:t>
      </w:r>
      <w:r w:rsidR="0017112F" w:rsidRPr="0028372D">
        <w:rPr>
          <w:rFonts w:ascii="Arial" w:hAnsi="Arial" w:cs="Arial"/>
          <w:bCs/>
          <w:sz w:val="20"/>
          <w:szCs w:val="20"/>
        </w:rPr>
        <w:t>.</w:t>
      </w:r>
    </w:p>
    <w:p w14:paraId="3BB3B309" w14:textId="77777777" w:rsidR="00712DDF" w:rsidRDefault="00712DDF" w:rsidP="0083483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64A771" w14:textId="3F464841" w:rsidR="00DB5741" w:rsidRPr="00156E0C" w:rsidRDefault="00DB5741" w:rsidP="00834832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6E0C">
        <w:rPr>
          <w:rFonts w:ascii="Arial" w:hAnsi="Arial" w:cs="Arial"/>
          <w:b/>
          <w:bCs/>
          <w:sz w:val="20"/>
          <w:szCs w:val="20"/>
        </w:rPr>
        <w:t>Période </w:t>
      </w:r>
      <w:r w:rsidR="00834832" w:rsidRPr="00156E0C">
        <w:rPr>
          <w:rFonts w:ascii="Arial" w:hAnsi="Arial" w:cs="Arial"/>
          <w:b/>
          <w:bCs/>
          <w:sz w:val="20"/>
          <w:szCs w:val="20"/>
        </w:rPr>
        <w:t>du déroulement </w:t>
      </w:r>
      <w:r w:rsidR="00911B60">
        <w:rPr>
          <w:rFonts w:ascii="Arial" w:hAnsi="Arial" w:cs="Arial"/>
          <w:b/>
          <w:bCs/>
          <w:sz w:val="20"/>
          <w:szCs w:val="20"/>
        </w:rPr>
        <w:t>de l’É</w:t>
      </w:r>
      <w:r w:rsidR="00911B60" w:rsidRPr="00911B60">
        <w:rPr>
          <w:rFonts w:ascii="Arial" w:hAnsi="Arial" w:cs="Arial"/>
          <w:b/>
          <w:bCs/>
          <w:sz w:val="20"/>
          <w:szCs w:val="20"/>
        </w:rPr>
        <w:t>cole ouverte buissonnière</w:t>
      </w:r>
      <w:r w:rsidR="00834832" w:rsidRPr="00156E0C">
        <w:rPr>
          <w:rFonts w:ascii="Arial" w:hAnsi="Arial" w:cs="Arial"/>
          <w:b/>
          <w:bCs/>
          <w:sz w:val="20"/>
          <w:szCs w:val="20"/>
        </w:rPr>
        <w:t>:</w:t>
      </w:r>
      <w:r w:rsidR="004657ED">
        <w:rPr>
          <w:rFonts w:ascii="Arial" w:hAnsi="Arial" w:cs="Arial"/>
          <w:bCs/>
          <w:sz w:val="20"/>
          <w:szCs w:val="20"/>
        </w:rPr>
        <w:t xml:space="preserve"> i</w:t>
      </w:r>
      <w:r w:rsidR="0085432D" w:rsidRPr="00156E0C">
        <w:rPr>
          <w:rFonts w:ascii="Arial" w:hAnsi="Arial" w:cs="Arial"/>
          <w:bCs/>
          <w:sz w:val="20"/>
          <w:szCs w:val="20"/>
        </w:rPr>
        <w:t>ncluse dans la période Ecole</w:t>
      </w:r>
      <w:r w:rsidR="00653457">
        <w:rPr>
          <w:rFonts w:ascii="Arial" w:hAnsi="Arial" w:cs="Arial"/>
          <w:bCs/>
          <w:sz w:val="20"/>
          <w:szCs w:val="20"/>
        </w:rPr>
        <w:t xml:space="preserve"> ouverte.</w:t>
      </w:r>
    </w:p>
    <w:p w14:paraId="5436D831" w14:textId="77777777" w:rsidR="00260ACA" w:rsidRPr="00156E0C" w:rsidRDefault="00260ACA" w:rsidP="0083483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10B062" w14:textId="77777777" w:rsidR="007326C1" w:rsidRPr="00156E0C" w:rsidRDefault="007326C1" w:rsidP="0083483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6E0C">
        <w:rPr>
          <w:rFonts w:ascii="Arial" w:hAnsi="Arial" w:cs="Arial"/>
          <w:b/>
          <w:bCs/>
          <w:sz w:val="20"/>
          <w:szCs w:val="20"/>
        </w:rPr>
        <w:t>Lieux des séjours :</w:t>
      </w:r>
    </w:p>
    <w:p w14:paraId="364B7E9D" w14:textId="5E25DA8C" w:rsidR="007326C1" w:rsidRPr="00156E0C" w:rsidRDefault="007326C1" w:rsidP="0083483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4"/>
          <w:sz w:val="20"/>
          <w:szCs w:val="20"/>
        </w:rPr>
      </w:pPr>
      <w:r w:rsidRPr="00156E0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Ces séjours pourront bénéficier de partenariats </w:t>
      </w:r>
      <w:r w:rsidR="00A148A8" w:rsidRPr="00156E0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qui se matérialiseront </w:t>
      </w:r>
      <w:r w:rsidR="005A3817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par la mise à disposition par la collectivité d’accueil d’hébergements en dur ou sous tente et </w:t>
      </w:r>
      <w:r w:rsidR="005A3817" w:rsidRPr="00156E0C">
        <w:rPr>
          <w:rFonts w:ascii="Arial" w:eastAsia="Times New Roman" w:hAnsi="Arial" w:cs="Arial"/>
          <w:color w:val="000000"/>
          <w:kern w:val="24"/>
          <w:sz w:val="20"/>
          <w:szCs w:val="20"/>
        </w:rPr>
        <w:t>par</w:t>
      </w:r>
      <w:r w:rsidR="005A3817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celles d’</w:t>
      </w:r>
      <w:r w:rsidR="0070598E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écoles, </w:t>
      </w:r>
      <w:r w:rsidR="005A3817">
        <w:rPr>
          <w:rFonts w:ascii="Arial" w:eastAsia="Times New Roman" w:hAnsi="Arial" w:cs="Arial"/>
          <w:color w:val="000000"/>
          <w:kern w:val="24"/>
          <w:sz w:val="20"/>
          <w:szCs w:val="20"/>
        </w:rPr>
        <w:t>d’</w:t>
      </w:r>
      <w:r w:rsidR="0070598E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établissements ou d’autres locaux permettant des activités de renforcement scolaire. </w:t>
      </w:r>
    </w:p>
    <w:p w14:paraId="09450CCE" w14:textId="77777777" w:rsidR="00260ACA" w:rsidRPr="00156E0C" w:rsidRDefault="00260ACA" w:rsidP="0083483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4"/>
          <w:sz w:val="20"/>
          <w:szCs w:val="20"/>
        </w:rPr>
      </w:pPr>
    </w:p>
    <w:p w14:paraId="3908DE0E" w14:textId="5D0683E0" w:rsidR="00A148A8" w:rsidRDefault="00A148A8" w:rsidP="00834832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kern w:val="24"/>
          <w:sz w:val="20"/>
          <w:szCs w:val="20"/>
        </w:rPr>
      </w:pPr>
      <w:r w:rsidRPr="00156E0C">
        <w:rPr>
          <w:rFonts w:ascii="Arial" w:eastAsia="Times New Roman" w:hAnsi="Arial" w:cs="Arial"/>
          <w:b/>
          <w:color w:val="000000"/>
          <w:kern w:val="24"/>
          <w:sz w:val="20"/>
          <w:szCs w:val="20"/>
        </w:rPr>
        <w:t>Mode opératoire :</w:t>
      </w:r>
    </w:p>
    <w:p w14:paraId="355E717C" w14:textId="0DB25A67" w:rsidR="004657ED" w:rsidRPr="00156E0C" w:rsidRDefault="004657ED" w:rsidP="004657ED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6E0C">
        <w:rPr>
          <w:rFonts w:ascii="Arial" w:hAnsi="Arial" w:cs="Arial"/>
          <w:bCs/>
          <w:sz w:val="20"/>
          <w:szCs w:val="20"/>
        </w:rPr>
        <w:t>Les propositions peuvent être de deux ordres :</w:t>
      </w:r>
    </w:p>
    <w:p w14:paraId="0A05D0D3" w14:textId="57030812" w:rsidR="004657ED" w:rsidRDefault="00A30117" w:rsidP="0028372D">
      <w:pPr>
        <w:pStyle w:val="Paragraphedeliste"/>
        <w:numPr>
          <w:ilvl w:val="0"/>
          <w:numId w:val="12"/>
        </w:numPr>
        <w:jc w:val="both"/>
      </w:pPr>
      <w:r>
        <w:rPr>
          <w:rFonts w:ascii="Arial" w:hAnsi="Arial" w:cs="Arial"/>
          <w:bCs/>
          <w:sz w:val="20"/>
          <w:szCs w:val="20"/>
        </w:rPr>
        <w:t xml:space="preserve">des lieux </w:t>
      </w:r>
      <w:r w:rsidR="004A7BD5">
        <w:rPr>
          <w:rFonts w:ascii="Arial" w:hAnsi="Arial" w:cs="Arial"/>
          <w:bCs/>
          <w:sz w:val="20"/>
          <w:szCs w:val="20"/>
        </w:rPr>
        <w:t>proposés par la collectivité</w:t>
      </w:r>
      <w:r w:rsidR="004657ED" w:rsidRPr="0028372D">
        <w:rPr>
          <w:rFonts w:ascii="Arial" w:hAnsi="Arial" w:cs="Arial"/>
          <w:bCs/>
          <w:sz w:val="20"/>
          <w:szCs w:val="20"/>
        </w:rPr>
        <w:t xml:space="preserve"> permettant un hébergement, la restauration et des activités éducatives, avec une identification des activités culturelles, de nature ou sportives possibles</w:t>
      </w:r>
      <w:r w:rsidR="004A7BD5">
        <w:rPr>
          <w:rFonts w:ascii="Arial" w:hAnsi="Arial" w:cs="Arial"/>
          <w:bCs/>
          <w:sz w:val="20"/>
          <w:szCs w:val="20"/>
        </w:rPr>
        <w:t> ;</w:t>
      </w:r>
    </w:p>
    <w:p w14:paraId="4C326150" w14:textId="490130F2" w:rsidR="004657ED" w:rsidRPr="00156E0C" w:rsidRDefault="004657ED" w:rsidP="0028372D">
      <w:pPr>
        <w:pStyle w:val="Paragraphedeliste"/>
        <w:numPr>
          <w:ilvl w:val="0"/>
          <w:numId w:val="12"/>
        </w:numPr>
        <w:jc w:val="both"/>
      </w:pPr>
      <w:r w:rsidRPr="0028372D">
        <w:rPr>
          <w:rFonts w:ascii="Arial" w:hAnsi="Arial" w:cs="Arial"/>
          <w:bCs/>
          <w:sz w:val="20"/>
          <w:szCs w:val="20"/>
        </w:rPr>
        <w:t xml:space="preserve">des séjours type « clé en main » </w:t>
      </w:r>
      <w:r w:rsidR="004A7BD5">
        <w:rPr>
          <w:rFonts w:ascii="Arial" w:hAnsi="Arial" w:cs="Arial"/>
          <w:bCs/>
          <w:sz w:val="20"/>
          <w:szCs w:val="20"/>
        </w:rPr>
        <w:t>proposé par un partenaire associatif</w:t>
      </w:r>
      <w:r w:rsidRPr="0028372D">
        <w:rPr>
          <w:rFonts w:ascii="Arial" w:hAnsi="Arial" w:cs="Arial"/>
          <w:bCs/>
          <w:sz w:val="20"/>
          <w:szCs w:val="20"/>
        </w:rPr>
        <w:t xml:space="preserve">. Les chefs d’établissement ou collectivités qui confient l’organisation de cette phase à un opérateur comme l’UCPA, la Ligue de l’enseignement, les Eclaireurs, AROEVEN-FOEVEN ou tout </w:t>
      </w:r>
      <w:r w:rsidRPr="0028372D">
        <w:rPr>
          <w:rFonts w:ascii="Arial" w:hAnsi="Arial" w:cs="Arial"/>
          <w:bCs/>
          <w:sz w:val="20"/>
          <w:szCs w:val="20"/>
        </w:rPr>
        <w:lastRenderedPageBreak/>
        <w:t>autre partenaire susceptible d’organiser cette modalité de séjour devront veiller à la cohérence de cette action avec leur projet.</w:t>
      </w:r>
    </w:p>
    <w:p w14:paraId="2BA8BC1E" w14:textId="77777777" w:rsidR="004657ED" w:rsidRPr="0028372D" w:rsidRDefault="004657ED" w:rsidP="0028372D">
      <w:pPr>
        <w:pStyle w:val="Paragraphedeliste"/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74BD79" w14:textId="5FC8B633" w:rsidR="004657ED" w:rsidRPr="0028372D" w:rsidRDefault="004657ED" w:rsidP="0028372D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modalités opératoires sont les suivantes :</w:t>
      </w:r>
    </w:p>
    <w:p w14:paraId="53ECA831" w14:textId="1A440B8C" w:rsidR="00B07D55" w:rsidRPr="0028372D" w:rsidRDefault="004657ED" w:rsidP="0028372D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28372D">
        <w:rPr>
          <w:rFonts w:ascii="Arial" w:hAnsi="Arial" w:cs="Arial"/>
          <w:bCs/>
          <w:sz w:val="20"/>
          <w:szCs w:val="20"/>
        </w:rPr>
        <w:t xml:space="preserve">Identification </w:t>
      </w:r>
      <w:r w:rsidR="00284C4D">
        <w:rPr>
          <w:rFonts w:ascii="Arial" w:hAnsi="Arial" w:cs="Arial"/>
          <w:bCs/>
          <w:sz w:val="20"/>
          <w:szCs w:val="20"/>
        </w:rPr>
        <w:t xml:space="preserve">par les DSDEN auprès des collectivités </w:t>
      </w:r>
      <w:r w:rsidRPr="0028372D">
        <w:rPr>
          <w:rFonts w:ascii="Arial" w:hAnsi="Arial" w:cs="Arial"/>
          <w:bCs/>
          <w:sz w:val="20"/>
          <w:szCs w:val="20"/>
        </w:rPr>
        <w:t xml:space="preserve">des </w:t>
      </w:r>
      <w:r w:rsidR="00A148A8" w:rsidRPr="0028372D">
        <w:rPr>
          <w:rFonts w:ascii="Arial" w:hAnsi="Arial" w:cs="Arial"/>
          <w:bCs/>
          <w:sz w:val="20"/>
          <w:szCs w:val="20"/>
        </w:rPr>
        <w:t>lieux d’accueil de ces séjours</w:t>
      </w:r>
      <w:r w:rsidR="00B07D55" w:rsidRPr="0028372D">
        <w:rPr>
          <w:rFonts w:ascii="Arial" w:hAnsi="Arial" w:cs="Arial"/>
          <w:bCs/>
          <w:sz w:val="20"/>
          <w:szCs w:val="20"/>
        </w:rPr>
        <w:t>, dans un environnement proche (prioritairement intra départemental) et dans le respect des règles sanitaires s’appliquant aux transports :</w:t>
      </w:r>
    </w:p>
    <w:p w14:paraId="5B27B318" w14:textId="70E557B7" w:rsidR="00B07D55" w:rsidRDefault="00ED4E2A" w:rsidP="0028372D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s’agissant des </w:t>
      </w:r>
      <w:r w:rsidR="0055751C">
        <w:rPr>
          <w:rFonts w:ascii="Arial" w:hAnsi="Arial" w:cs="Arial"/>
          <w:bCs/>
          <w:sz w:val="20"/>
          <w:szCs w:val="20"/>
        </w:rPr>
        <w:t>écoles, internats…</w:t>
      </w:r>
    </w:p>
    <w:p w14:paraId="1622ADE3" w14:textId="1A4D775E" w:rsidR="00B07D55" w:rsidRDefault="00ED4E2A" w:rsidP="0028372D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s’agissant des </w:t>
      </w:r>
      <w:r w:rsidR="0055751C">
        <w:rPr>
          <w:rFonts w:ascii="Arial" w:hAnsi="Arial" w:cs="Arial"/>
          <w:bCs/>
          <w:sz w:val="20"/>
          <w:szCs w:val="20"/>
        </w:rPr>
        <w:t>hébergements en dur ou sous tente</w:t>
      </w:r>
      <w:r w:rsidR="00284C4D">
        <w:rPr>
          <w:rFonts w:ascii="Arial" w:hAnsi="Arial" w:cs="Arial"/>
          <w:bCs/>
          <w:sz w:val="20"/>
          <w:szCs w:val="20"/>
        </w:rPr>
        <w:t>, en lien avec les DDCS</w:t>
      </w:r>
      <w:r w:rsidR="0055751C">
        <w:rPr>
          <w:rFonts w:ascii="Arial" w:hAnsi="Arial" w:cs="Arial"/>
          <w:bCs/>
          <w:sz w:val="20"/>
          <w:szCs w:val="20"/>
        </w:rPr>
        <w:t xml:space="preserve"> </w:t>
      </w:r>
    </w:p>
    <w:p w14:paraId="59C627EC" w14:textId="1DB81FE1" w:rsidR="00284C4D" w:rsidRPr="00284C4D" w:rsidRDefault="00284C4D" w:rsidP="00284C4D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OU identification auprès des collectivités des lieux d’accueil </w:t>
      </w:r>
      <w:r w:rsidR="003A05CB" w:rsidRPr="00284C4D">
        <w:rPr>
          <w:rFonts w:ascii="Arial" w:hAnsi="Arial" w:cs="Arial"/>
          <w:bCs/>
          <w:sz w:val="20"/>
          <w:szCs w:val="20"/>
        </w:rPr>
        <w:t>par le</w:t>
      </w:r>
      <w:r w:rsidR="0085432D" w:rsidRPr="00284C4D">
        <w:rPr>
          <w:rFonts w:ascii="Arial" w:hAnsi="Arial" w:cs="Arial"/>
          <w:bCs/>
          <w:sz w:val="20"/>
          <w:szCs w:val="20"/>
        </w:rPr>
        <w:t xml:space="preserve"> partenaire associatif retenu par l’établissement </w:t>
      </w:r>
      <w:r w:rsidR="002535B7" w:rsidRPr="00284C4D">
        <w:rPr>
          <w:rFonts w:ascii="Arial" w:hAnsi="Arial" w:cs="Arial"/>
          <w:bCs/>
          <w:sz w:val="20"/>
          <w:szCs w:val="20"/>
        </w:rPr>
        <w:t xml:space="preserve">scolaire </w:t>
      </w:r>
    </w:p>
    <w:p w14:paraId="4E8E166E" w14:textId="4FD5F0DD" w:rsidR="00281CFA" w:rsidRPr="00284C4D" w:rsidRDefault="00281CFA" w:rsidP="0028372D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284C4D">
        <w:rPr>
          <w:rFonts w:ascii="Arial" w:hAnsi="Arial" w:cs="Arial"/>
          <w:bCs/>
          <w:sz w:val="20"/>
          <w:szCs w:val="20"/>
        </w:rPr>
        <w:t>Mise en relation par les DSDEN</w:t>
      </w:r>
      <w:r w:rsidR="00ED4E2A" w:rsidRPr="00284C4D">
        <w:rPr>
          <w:rFonts w:ascii="Arial" w:hAnsi="Arial" w:cs="Arial"/>
          <w:bCs/>
          <w:sz w:val="20"/>
          <w:szCs w:val="20"/>
        </w:rPr>
        <w:t>, en lien avec les DDCS,</w:t>
      </w:r>
      <w:r w:rsidRPr="00284C4D">
        <w:rPr>
          <w:rFonts w:ascii="Arial" w:hAnsi="Arial" w:cs="Arial"/>
          <w:bCs/>
          <w:sz w:val="20"/>
          <w:szCs w:val="20"/>
        </w:rPr>
        <w:t xml:space="preserve"> des Ecoles ouvertes et des collectivités </w:t>
      </w:r>
      <w:r w:rsidR="00B07D55" w:rsidRPr="00284C4D">
        <w:rPr>
          <w:rFonts w:ascii="Arial" w:hAnsi="Arial" w:cs="Arial"/>
          <w:bCs/>
          <w:sz w:val="20"/>
          <w:szCs w:val="20"/>
        </w:rPr>
        <w:t>pouvan</w:t>
      </w:r>
      <w:r w:rsidRPr="00284C4D">
        <w:rPr>
          <w:rFonts w:ascii="Arial" w:hAnsi="Arial" w:cs="Arial"/>
          <w:bCs/>
          <w:sz w:val="20"/>
          <w:szCs w:val="20"/>
        </w:rPr>
        <w:t>t mettre à disposition des lieux d’accueil</w:t>
      </w:r>
    </w:p>
    <w:p w14:paraId="38CD5A9C" w14:textId="0604BAC7" w:rsidR="00834832" w:rsidRPr="00156E0C" w:rsidRDefault="00284C4D" w:rsidP="0028372D">
      <w:pPr>
        <w:ind w:left="708"/>
        <w:jc w:val="both"/>
      </w:pPr>
      <w:r>
        <w:rPr>
          <w:rFonts w:ascii="Arial" w:hAnsi="Arial" w:cs="Arial"/>
          <w:bCs/>
          <w:sz w:val="20"/>
          <w:szCs w:val="20"/>
        </w:rPr>
        <w:t>OU</w:t>
      </w:r>
      <w:r w:rsidR="00281CFA" w:rsidRPr="0028372D">
        <w:rPr>
          <w:rFonts w:ascii="Arial" w:hAnsi="Arial" w:cs="Arial"/>
          <w:bCs/>
          <w:sz w:val="20"/>
          <w:szCs w:val="20"/>
        </w:rPr>
        <w:t xml:space="preserve"> Mise en relation par les D</w:t>
      </w:r>
      <w:r w:rsidR="004A7BD5" w:rsidRPr="0028372D">
        <w:rPr>
          <w:rFonts w:ascii="Arial" w:hAnsi="Arial" w:cs="Arial"/>
          <w:bCs/>
          <w:sz w:val="20"/>
          <w:szCs w:val="20"/>
        </w:rPr>
        <w:t>S</w:t>
      </w:r>
      <w:r w:rsidR="00281CFA" w:rsidRPr="0028372D">
        <w:rPr>
          <w:rFonts w:ascii="Arial" w:hAnsi="Arial" w:cs="Arial"/>
          <w:bCs/>
          <w:sz w:val="20"/>
          <w:szCs w:val="20"/>
        </w:rPr>
        <w:t>D</w:t>
      </w:r>
      <w:r w:rsidR="004A7BD5" w:rsidRPr="0028372D">
        <w:rPr>
          <w:rFonts w:ascii="Arial" w:hAnsi="Arial" w:cs="Arial"/>
          <w:bCs/>
          <w:sz w:val="20"/>
          <w:szCs w:val="20"/>
        </w:rPr>
        <w:t>EN</w:t>
      </w:r>
      <w:r w:rsidR="00ED4E2A" w:rsidRPr="0028372D">
        <w:rPr>
          <w:rFonts w:ascii="Arial" w:hAnsi="Arial" w:cs="Arial"/>
          <w:bCs/>
          <w:sz w:val="20"/>
          <w:szCs w:val="20"/>
        </w:rPr>
        <w:t>, en lien avec les DDCS,</w:t>
      </w:r>
      <w:r w:rsidR="004A7BD5" w:rsidRPr="0028372D">
        <w:rPr>
          <w:rFonts w:ascii="Arial" w:hAnsi="Arial" w:cs="Arial"/>
          <w:bCs/>
          <w:sz w:val="20"/>
          <w:szCs w:val="20"/>
        </w:rPr>
        <w:t xml:space="preserve"> des Ecoles ouvertes et des </w:t>
      </w:r>
      <w:r w:rsidR="00281CFA" w:rsidRPr="0028372D">
        <w:rPr>
          <w:rFonts w:ascii="Arial" w:hAnsi="Arial" w:cs="Arial"/>
          <w:bCs/>
          <w:sz w:val="20"/>
          <w:szCs w:val="20"/>
        </w:rPr>
        <w:t xml:space="preserve">partenaires associatifs proposant </w:t>
      </w:r>
      <w:r w:rsidR="004A7BD5" w:rsidRPr="0028372D">
        <w:rPr>
          <w:rFonts w:ascii="Arial" w:hAnsi="Arial" w:cs="Arial"/>
          <w:bCs/>
          <w:sz w:val="20"/>
          <w:szCs w:val="20"/>
        </w:rPr>
        <w:t>de</w:t>
      </w:r>
      <w:r w:rsidR="00281CFA" w:rsidRPr="0028372D">
        <w:rPr>
          <w:rFonts w:ascii="Arial" w:hAnsi="Arial" w:cs="Arial"/>
          <w:bCs/>
          <w:sz w:val="20"/>
          <w:szCs w:val="20"/>
        </w:rPr>
        <w:t>s</w:t>
      </w:r>
      <w:r w:rsidR="004A7BD5" w:rsidRPr="0028372D">
        <w:rPr>
          <w:rFonts w:ascii="Arial" w:hAnsi="Arial" w:cs="Arial"/>
          <w:bCs/>
          <w:sz w:val="20"/>
          <w:szCs w:val="20"/>
        </w:rPr>
        <w:t xml:space="preserve"> séjours buissonniers clés en main</w:t>
      </w:r>
      <w:r w:rsidR="00281CFA" w:rsidRPr="0028372D">
        <w:rPr>
          <w:rFonts w:ascii="Arial" w:hAnsi="Arial" w:cs="Arial"/>
          <w:bCs/>
          <w:sz w:val="20"/>
          <w:szCs w:val="20"/>
        </w:rPr>
        <w:t>.</w:t>
      </w:r>
    </w:p>
    <w:p w14:paraId="6660BD4B" w14:textId="43BFB972" w:rsidR="004C089D" w:rsidRDefault="004C089D" w:rsidP="00834832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8D9E3B" w14:textId="53F9DE47" w:rsidR="004C089D" w:rsidRPr="0028372D" w:rsidRDefault="004C089D" w:rsidP="0083483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8372D">
        <w:rPr>
          <w:rFonts w:ascii="Arial" w:hAnsi="Arial" w:cs="Arial"/>
          <w:b/>
          <w:bCs/>
          <w:sz w:val="20"/>
          <w:szCs w:val="20"/>
          <w:u w:val="single"/>
        </w:rPr>
        <w:t>Mobilisation des IA-DASEN</w:t>
      </w:r>
      <w:r w:rsidR="006035D2">
        <w:rPr>
          <w:rFonts w:ascii="Arial" w:hAnsi="Arial" w:cs="Arial"/>
          <w:b/>
          <w:bCs/>
          <w:sz w:val="20"/>
          <w:szCs w:val="20"/>
          <w:u w:val="single"/>
        </w:rPr>
        <w:t> :</w:t>
      </w:r>
    </w:p>
    <w:tbl>
      <w:tblPr>
        <w:tblStyle w:val="Grilledutableau"/>
        <w:tblW w:w="10768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083"/>
        <w:gridCol w:w="1561"/>
        <w:gridCol w:w="1669"/>
        <w:gridCol w:w="1892"/>
        <w:gridCol w:w="2003"/>
        <w:gridCol w:w="2560"/>
      </w:tblGrid>
      <w:tr w:rsidR="004657ED" w:rsidRPr="00194C43" w14:paraId="0409F14F" w14:textId="77777777" w:rsidTr="0028372D">
        <w:trPr>
          <w:trHeight w:val="282"/>
        </w:trPr>
        <w:tc>
          <w:tcPr>
            <w:tcW w:w="1083" w:type="dxa"/>
          </w:tcPr>
          <w:p w14:paraId="2502931C" w14:textId="77777777" w:rsidR="0078088C" w:rsidRPr="00194C43" w:rsidRDefault="0078088C" w:rsidP="00C90A6F">
            <w:pPr>
              <w:rPr>
                <w:rFonts w:ascii="Arial" w:hAnsi="Arial" w:cs="Arial"/>
                <w:b/>
                <w:sz w:val="20"/>
              </w:rPr>
            </w:pPr>
            <w:r w:rsidRPr="00194C43">
              <w:rPr>
                <w:rFonts w:ascii="Arial" w:hAnsi="Arial" w:cs="Arial"/>
                <w:b/>
                <w:sz w:val="20"/>
              </w:rPr>
              <w:t>Acteurs</w:t>
            </w:r>
          </w:p>
        </w:tc>
        <w:tc>
          <w:tcPr>
            <w:tcW w:w="1561" w:type="dxa"/>
          </w:tcPr>
          <w:p w14:paraId="6ED25051" w14:textId="77777777" w:rsidR="0078088C" w:rsidRPr="00194C43" w:rsidRDefault="0078088C" w:rsidP="00C90A6F">
            <w:pPr>
              <w:rPr>
                <w:rFonts w:ascii="Arial" w:hAnsi="Arial" w:cs="Arial"/>
                <w:sz w:val="20"/>
              </w:rPr>
            </w:pPr>
            <w:r w:rsidRPr="00194C43">
              <w:rPr>
                <w:rFonts w:ascii="Arial" w:hAnsi="Arial" w:cs="Arial"/>
                <w:sz w:val="20"/>
              </w:rPr>
              <w:t>DDCS</w:t>
            </w:r>
          </w:p>
        </w:tc>
        <w:tc>
          <w:tcPr>
            <w:tcW w:w="1669" w:type="dxa"/>
          </w:tcPr>
          <w:p w14:paraId="156027A4" w14:textId="33D13A7C" w:rsidR="0078088C" w:rsidRPr="00194C43" w:rsidRDefault="0078088C" w:rsidP="00C90A6F">
            <w:pPr>
              <w:rPr>
                <w:rFonts w:ascii="Arial" w:hAnsi="Arial" w:cs="Arial"/>
                <w:sz w:val="20"/>
              </w:rPr>
            </w:pPr>
            <w:r w:rsidRPr="00194C43">
              <w:rPr>
                <w:rFonts w:ascii="Arial" w:hAnsi="Arial" w:cs="Arial"/>
                <w:sz w:val="20"/>
              </w:rPr>
              <w:t>Directeur</w:t>
            </w:r>
            <w:r w:rsidR="006035D2">
              <w:rPr>
                <w:rFonts w:ascii="Arial" w:hAnsi="Arial" w:cs="Arial"/>
                <w:sz w:val="20"/>
              </w:rPr>
              <w:t>s</w:t>
            </w:r>
            <w:r w:rsidRPr="00194C43">
              <w:rPr>
                <w:rFonts w:ascii="Arial" w:hAnsi="Arial" w:cs="Arial"/>
                <w:sz w:val="20"/>
              </w:rPr>
              <w:t xml:space="preserve"> écoles</w:t>
            </w:r>
          </w:p>
        </w:tc>
        <w:tc>
          <w:tcPr>
            <w:tcW w:w="1892" w:type="dxa"/>
          </w:tcPr>
          <w:p w14:paraId="24DD8DEE" w14:textId="7CBD8813" w:rsidR="0078088C" w:rsidRPr="00194C43" w:rsidRDefault="0078088C" w:rsidP="00C90A6F">
            <w:pPr>
              <w:rPr>
                <w:rFonts w:ascii="Arial" w:hAnsi="Arial" w:cs="Arial"/>
                <w:sz w:val="20"/>
              </w:rPr>
            </w:pPr>
            <w:r w:rsidRPr="00194C43">
              <w:rPr>
                <w:rFonts w:ascii="Arial" w:hAnsi="Arial" w:cs="Arial"/>
                <w:sz w:val="20"/>
              </w:rPr>
              <w:t>Chef</w:t>
            </w:r>
            <w:r w:rsidR="006035D2">
              <w:rPr>
                <w:rFonts w:ascii="Arial" w:hAnsi="Arial" w:cs="Arial"/>
                <w:sz w:val="20"/>
              </w:rPr>
              <w:t>s</w:t>
            </w:r>
            <w:r w:rsidRPr="00194C43">
              <w:rPr>
                <w:rFonts w:ascii="Arial" w:hAnsi="Arial" w:cs="Arial"/>
                <w:sz w:val="20"/>
              </w:rPr>
              <w:t xml:space="preserve"> EPLE</w:t>
            </w:r>
          </w:p>
        </w:tc>
        <w:tc>
          <w:tcPr>
            <w:tcW w:w="2003" w:type="dxa"/>
          </w:tcPr>
          <w:p w14:paraId="629AA4A6" w14:textId="77777777" w:rsidR="0078088C" w:rsidRPr="00194C43" w:rsidRDefault="0078088C" w:rsidP="00C90A6F">
            <w:pPr>
              <w:rPr>
                <w:rFonts w:ascii="Arial" w:hAnsi="Arial" w:cs="Arial"/>
                <w:sz w:val="20"/>
              </w:rPr>
            </w:pPr>
            <w:r w:rsidRPr="00194C43">
              <w:rPr>
                <w:rFonts w:ascii="Arial" w:hAnsi="Arial" w:cs="Arial"/>
                <w:sz w:val="20"/>
              </w:rPr>
              <w:t>Maires du département</w:t>
            </w:r>
          </w:p>
        </w:tc>
        <w:tc>
          <w:tcPr>
            <w:tcW w:w="2560" w:type="dxa"/>
          </w:tcPr>
          <w:p w14:paraId="61AB4F31" w14:textId="77777777" w:rsidR="0078088C" w:rsidRPr="00194C43" w:rsidRDefault="0078088C" w:rsidP="00C90A6F">
            <w:pPr>
              <w:rPr>
                <w:rFonts w:ascii="Arial" w:hAnsi="Arial" w:cs="Arial"/>
                <w:sz w:val="20"/>
              </w:rPr>
            </w:pPr>
            <w:r w:rsidRPr="00194C43">
              <w:rPr>
                <w:rFonts w:ascii="Arial" w:hAnsi="Arial" w:cs="Arial"/>
                <w:sz w:val="20"/>
              </w:rPr>
              <w:t>Opérateurs</w:t>
            </w:r>
          </w:p>
        </w:tc>
      </w:tr>
      <w:tr w:rsidR="004657ED" w:rsidRPr="00194C43" w14:paraId="2EFDE985" w14:textId="77777777" w:rsidTr="0028372D">
        <w:trPr>
          <w:trHeight w:val="4196"/>
        </w:trPr>
        <w:tc>
          <w:tcPr>
            <w:tcW w:w="1083" w:type="dxa"/>
          </w:tcPr>
          <w:p w14:paraId="3F85A366" w14:textId="77777777" w:rsidR="0078088C" w:rsidRPr="00194C43" w:rsidRDefault="0078088C" w:rsidP="00C90A6F">
            <w:pPr>
              <w:rPr>
                <w:rFonts w:ascii="Arial" w:hAnsi="Arial" w:cs="Arial"/>
                <w:b/>
                <w:sz w:val="20"/>
              </w:rPr>
            </w:pPr>
            <w:r w:rsidRPr="00194C43">
              <w:rPr>
                <w:rFonts w:ascii="Arial" w:hAnsi="Arial" w:cs="Arial"/>
                <w:b/>
                <w:sz w:val="20"/>
              </w:rPr>
              <w:t>Actions de l’IA-DASEN</w:t>
            </w:r>
          </w:p>
        </w:tc>
        <w:tc>
          <w:tcPr>
            <w:tcW w:w="1561" w:type="dxa"/>
          </w:tcPr>
          <w:p w14:paraId="04DA551A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Collaborent pour développer et accompagner le dispositif.</w:t>
            </w:r>
          </w:p>
          <w:p w14:paraId="46FF8024" w14:textId="0A812C3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9DEA0" w14:textId="38CB3ED0" w:rsidR="00B761F7" w:rsidRPr="00194C43" w:rsidRDefault="00B761F7" w:rsidP="00C90A6F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Collaborent pour repérer et  mobiliser les partenaires associatifs.</w:t>
            </w:r>
          </w:p>
          <w:p w14:paraId="52E3B9AC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556D81A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Communique et explicite le dispositif et le cahier des charges.</w:t>
            </w:r>
          </w:p>
          <w:p w14:paraId="6FACFE09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98624" w14:textId="6208ABD9" w:rsidR="0078088C" w:rsidRPr="00194C43" w:rsidRDefault="006035D2" w:rsidP="00C90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in</w:t>
            </w:r>
            <w:r w:rsidR="0078088C" w:rsidRPr="00194C43">
              <w:rPr>
                <w:rFonts w:ascii="Arial" w:hAnsi="Arial" w:cs="Arial"/>
                <w:sz w:val="20"/>
                <w:szCs w:val="20"/>
              </w:rPr>
              <w:t>forme, valorise et encourage leur volontariat</w:t>
            </w:r>
          </w:p>
          <w:p w14:paraId="54C72328" w14:textId="77777777" w:rsidR="00B761F7" w:rsidRPr="00194C43" w:rsidRDefault="00B761F7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A9FFF" w14:textId="10891EB2" w:rsidR="00B761F7" w:rsidRPr="00194C43" w:rsidRDefault="00B761F7" w:rsidP="0028372D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 xml:space="preserve">Leur indique les opérateurs </w:t>
            </w:r>
            <w:r w:rsidR="00C316B0" w:rsidRPr="00194C43">
              <w:rPr>
                <w:rFonts w:ascii="Arial" w:hAnsi="Arial" w:cs="Arial"/>
                <w:sz w:val="20"/>
                <w:szCs w:val="20"/>
              </w:rPr>
              <w:t>disponibles pour organiser et mettre</w:t>
            </w:r>
            <w:r w:rsidRPr="00194C43">
              <w:rPr>
                <w:rFonts w:ascii="Arial" w:hAnsi="Arial" w:cs="Arial"/>
                <w:sz w:val="20"/>
                <w:szCs w:val="20"/>
              </w:rPr>
              <w:t xml:space="preserve"> en œuvre.</w:t>
            </w:r>
          </w:p>
        </w:tc>
        <w:tc>
          <w:tcPr>
            <w:tcW w:w="1892" w:type="dxa"/>
          </w:tcPr>
          <w:p w14:paraId="78F8D5DF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Communique et explicite le dispositif et le cahier des charges.</w:t>
            </w:r>
          </w:p>
          <w:p w14:paraId="7D31BCDA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6E650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E734B" w14:textId="695AEA5F" w:rsidR="0078088C" w:rsidRPr="00194C43" w:rsidRDefault="006035D2" w:rsidP="00C90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i</w:t>
            </w:r>
            <w:r w:rsidR="0078088C" w:rsidRPr="00194C43">
              <w:rPr>
                <w:rFonts w:ascii="Arial" w:hAnsi="Arial" w:cs="Arial"/>
                <w:sz w:val="20"/>
                <w:szCs w:val="20"/>
              </w:rPr>
              <w:t>nforme, valorise et encourage leur volontariat.</w:t>
            </w:r>
          </w:p>
          <w:p w14:paraId="4D79AAD5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B9C1F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Leur signale les communes volontaires.</w:t>
            </w:r>
          </w:p>
          <w:p w14:paraId="270213FC" w14:textId="77777777" w:rsidR="00194C43" w:rsidRPr="00194C43" w:rsidRDefault="00194C43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13CF0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Leur signale les opérateurs disponibles.</w:t>
            </w:r>
          </w:p>
        </w:tc>
        <w:tc>
          <w:tcPr>
            <w:tcW w:w="2003" w:type="dxa"/>
          </w:tcPr>
          <w:p w14:paraId="534B7756" w14:textId="7BD74A7F" w:rsidR="0078088C" w:rsidRPr="00194C43" w:rsidRDefault="006035D2" w:rsidP="00C90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i</w:t>
            </w:r>
            <w:r w:rsidR="0078088C" w:rsidRPr="00194C43">
              <w:rPr>
                <w:rFonts w:ascii="Arial" w:hAnsi="Arial" w:cs="Arial"/>
                <w:sz w:val="20"/>
                <w:szCs w:val="20"/>
              </w:rPr>
              <w:t>nforme, en lien avec le DDCS, valorise, encourage et accompagne le volontariat des maires.</w:t>
            </w:r>
          </w:p>
          <w:p w14:paraId="112E0845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FF35E" w14:textId="0A2C0283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Précise les modalités d’accueil (locaux nus, terrains, école, r</w:t>
            </w:r>
            <w:r w:rsidR="00675DC1" w:rsidRPr="00194C43">
              <w:rPr>
                <w:rFonts w:ascii="Arial" w:hAnsi="Arial" w:cs="Arial"/>
                <w:sz w:val="20"/>
                <w:szCs w:val="20"/>
              </w:rPr>
              <w:t>estauration, pistes d’activités</w:t>
            </w:r>
            <w:r w:rsidRPr="00194C43">
              <w:rPr>
                <w:rFonts w:ascii="Arial" w:hAnsi="Arial" w:cs="Arial"/>
                <w:sz w:val="20"/>
                <w:szCs w:val="20"/>
              </w:rPr>
              <w:t>…).</w:t>
            </w:r>
          </w:p>
          <w:p w14:paraId="4F282EBF" w14:textId="77777777" w:rsidR="0078088C" w:rsidRPr="00194C43" w:rsidRDefault="0078088C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627CF" w14:textId="5BDA89B1" w:rsidR="0078088C" w:rsidRPr="00194C43" w:rsidRDefault="006035D2" w:rsidP="00603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Leur p</w:t>
            </w:r>
            <w:r w:rsidR="0078088C" w:rsidRPr="00194C43">
              <w:rPr>
                <w:rFonts w:ascii="Arial" w:hAnsi="Arial" w:cs="Arial"/>
                <w:sz w:val="20"/>
                <w:szCs w:val="20"/>
              </w:rPr>
              <w:t xml:space="preserve">ropose le recours à un </w:t>
            </w:r>
            <w:r w:rsidR="00C032C5" w:rsidRPr="00194C43">
              <w:rPr>
                <w:rFonts w:ascii="Arial" w:hAnsi="Arial" w:cs="Arial"/>
                <w:sz w:val="20"/>
                <w:szCs w:val="20"/>
              </w:rPr>
              <w:t>opérateur pour la mise en œuvre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3D2715F0" w14:textId="6CDC9779" w:rsidR="0078088C" w:rsidRPr="00194C43" w:rsidRDefault="006035D2" w:rsidP="00C90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i</w:t>
            </w:r>
            <w:r w:rsidR="0078088C" w:rsidRPr="00194C43">
              <w:rPr>
                <w:rFonts w:ascii="Arial" w:hAnsi="Arial" w:cs="Arial"/>
                <w:sz w:val="20"/>
                <w:szCs w:val="20"/>
              </w:rPr>
              <w:t>nforme, en lien avec le DDCS, de la disponibilité et du volontariat des communes.</w:t>
            </w:r>
          </w:p>
          <w:p w14:paraId="6A1256FD" w14:textId="77777777" w:rsidR="00B761F7" w:rsidRPr="00194C43" w:rsidRDefault="00B761F7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64FBE" w14:textId="77777777" w:rsidR="00B761F7" w:rsidRPr="00194C43" w:rsidRDefault="00B761F7" w:rsidP="00C90A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09D58" w14:textId="77777777" w:rsidR="00B761F7" w:rsidRPr="00194C43" w:rsidRDefault="00B761F7" w:rsidP="00B761F7">
            <w:pPr>
              <w:rPr>
                <w:rFonts w:ascii="Arial" w:hAnsi="Arial" w:cs="Arial"/>
                <w:sz w:val="20"/>
                <w:szCs w:val="20"/>
              </w:rPr>
            </w:pPr>
            <w:r w:rsidRPr="00194C43">
              <w:rPr>
                <w:rFonts w:ascii="Arial" w:hAnsi="Arial" w:cs="Arial"/>
                <w:sz w:val="20"/>
                <w:szCs w:val="20"/>
              </w:rPr>
              <w:t>Pour les écoles, le DASEN formalise l’intervention du partenaire par convention.</w:t>
            </w:r>
          </w:p>
          <w:p w14:paraId="2B4C73A9" w14:textId="6DDD3139" w:rsidR="00B761F7" w:rsidRPr="00194C43" w:rsidRDefault="00B761F7" w:rsidP="00C90A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600711" w14:textId="77777777" w:rsidR="00260ACA" w:rsidRPr="00156E0C" w:rsidRDefault="00260ACA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19F646" w14:textId="77777777" w:rsidR="00A03071" w:rsidRPr="00156E0C" w:rsidRDefault="00A148A8" w:rsidP="0083483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6E0C">
        <w:rPr>
          <w:rFonts w:ascii="Arial" w:hAnsi="Arial" w:cs="Arial"/>
          <w:b/>
          <w:bCs/>
          <w:sz w:val="20"/>
          <w:szCs w:val="20"/>
        </w:rPr>
        <w:t>Exemples de séjours</w:t>
      </w:r>
      <w:r w:rsidR="003D203A" w:rsidRPr="00156E0C">
        <w:rPr>
          <w:rFonts w:ascii="Arial" w:hAnsi="Arial" w:cs="Arial"/>
          <w:b/>
          <w:bCs/>
          <w:sz w:val="20"/>
          <w:szCs w:val="20"/>
        </w:rPr>
        <w:t xml:space="preserve"> : </w:t>
      </w:r>
    </w:p>
    <w:p w14:paraId="1109AAC8" w14:textId="67D54443" w:rsidR="00430ECF" w:rsidRPr="00156E0C" w:rsidRDefault="003D203A" w:rsidP="00834832">
      <w:pPr>
        <w:pStyle w:val="Paragraphedeliste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6E0C">
        <w:rPr>
          <w:rFonts w:ascii="Arial" w:hAnsi="Arial" w:cs="Arial"/>
          <w:bCs/>
          <w:sz w:val="20"/>
          <w:szCs w:val="20"/>
        </w:rPr>
        <w:t>Sur une période type de 5</w:t>
      </w:r>
      <w:r w:rsidR="00654E17" w:rsidRPr="00156E0C">
        <w:rPr>
          <w:rFonts w:ascii="Arial" w:hAnsi="Arial" w:cs="Arial"/>
          <w:bCs/>
          <w:sz w:val="20"/>
          <w:szCs w:val="20"/>
        </w:rPr>
        <w:t xml:space="preserve"> à 10</w:t>
      </w:r>
      <w:r w:rsidRPr="00156E0C">
        <w:rPr>
          <w:rFonts w:ascii="Arial" w:hAnsi="Arial" w:cs="Arial"/>
          <w:bCs/>
          <w:sz w:val="20"/>
          <w:szCs w:val="20"/>
        </w:rPr>
        <w:t xml:space="preserve"> jours, 2</w:t>
      </w:r>
      <w:r w:rsidR="00654E17" w:rsidRPr="00156E0C">
        <w:rPr>
          <w:rFonts w:ascii="Arial" w:hAnsi="Arial" w:cs="Arial"/>
          <w:bCs/>
          <w:sz w:val="20"/>
          <w:szCs w:val="20"/>
        </w:rPr>
        <w:t xml:space="preserve"> à 4</w:t>
      </w:r>
      <w:r w:rsidRPr="00156E0C">
        <w:rPr>
          <w:rFonts w:ascii="Arial" w:hAnsi="Arial" w:cs="Arial"/>
          <w:bCs/>
          <w:sz w:val="20"/>
          <w:szCs w:val="20"/>
        </w:rPr>
        <w:t xml:space="preserve"> jours sont consacrés aux activités scolaires dans l’établissement, 3</w:t>
      </w:r>
      <w:r w:rsidR="00A044C0" w:rsidRPr="00156E0C">
        <w:rPr>
          <w:rFonts w:ascii="Arial" w:hAnsi="Arial" w:cs="Arial"/>
          <w:bCs/>
          <w:sz w:val="20"/>
          <w:szCs w:val="20"/>
        </w:rPr>
        <w:t xml:space="preserve"> à 6</w:t>
      </w:r>
      <w:r w:rsidRPr="00156E0C">
        <w:rPr>
          <w:rFonts w:ascii="Arial" w:hAnsi="Arial" w:cs="Arial"/>
          <w:bCs/>
          <w:sz w:val="20"/>
          <w:szCs w:val="20"/>
        </w:rPr>
        <w:t xml:space="preserve"> jours sont consacrés à l’éducation à la nature dans un autre lieu avec hébergement ou sous forme itinérante.</w:t>
      </w:r>
    </w:p>
    <w:p w14:paraId="3AE97BD8" w14:textId="4DB104EA" w:rsidR="00430ECF" w:rsidRPr="00156E0C" w:rsidRDefault="003D203A" w:rsidP="00834832">
      <w:pPr>
        <w:pStyle w:val="Paragraphedeliste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6E0C">
        <w:rPr>
          <w:rFonts w:ascii="Arial" w:hAnsi="Arial" w:cs="Arial"/>
          <w:bCs/>
          <w:sz w:val="20"/>
          <w:szCs w:val="20"/>
        </w:rPr>
        <w:t xml:space="preserve">Séjour intégralement organisé dans </w:t>
      </w:r>
      <w:r w:rsidR="004A7BD5">
        <w:rPr>
          <w:rFonts w:ascii="Arial" w:hAnsi="Arial" w:cs="Arial"/>
          <w:bCs/>
          <w:sz w:val="20"/>
          <w:szCs w:val="20"/>
        </w:rPr>
        <w:t>un espace rural</w:t>
      </w:r>
      <w:r w:rsidRPr="00156E0C">
        <w:rPr>
          <w:rFonts w:ascii="Arial" w:hAnsi="Arial" w:cs="Arial"/>
          <w:bCs/>
          <w:sz w:val="20"/>
          <w:szCs w:val="20"/>
        </w:rPr>
        <w:t>, dans le cadre d’Ecole ouverte, avec une alternance journalière d’activités scolaires et d’éducation à la nature</w:t>
      </w:r>
      <w:r w:rsidR="00DA14C7">
        <w:rPr>
          <w:rFonts w:ascii="Arial" w:hAnsi="Arial" w:cs="Arial"/>
          <w:bCs/>
          <w:sz w:val="20"/>
          <w:szCs w:val="20"/>
        </w:rPr>
        <w:t>.</w:t>
      </w:r>
      <w:r w:rsidRPr="00156E0C">
        <w:rPr>
          <w:rFonts w:ascii="Arial" w:hAnsi="Arial" w:cs="Arial"/>
          <w:bCs/>
          <w:sz w:val="20"/>
          <w:szCs w:val="20"/>
        </w:rPr>
        <w:t xml:space="preserve"> </w:t>
      </w:r>
    </w:p>
    <w:p w14:paraId="2A40E85C" w14:textId="77777777" w:rsidR="00834832" w:rsidRPr="00156E0C" w:rsidRDefault="00834832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71ED190" w14:textId="28E91556" w:rsidR="00260ACA" w:rsidRPr="00156E0C" w:rsidRDefault="00260ACA" w:rsidP="00834832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6E0C">
        <w:rPr>
          <w:rFonts w:ascii="Arial" w:hAnsi="Arial" w:cs="Arial"/>
          <w:b/>
          <w:sz w:val="20"/>
          <w:szCs w:val="20"/>
        </w:rPr>
        <w:t xml:space="preserve">Exemples </w:t>
      </w:r>
      <w:r w:rsidR="00284C4D" w:rsidRPr="00156E0C">
        <w:rPr>
          <w:rFonts w:ascii="Arial" w:hAnsi="Arial" w:cs="Arial"/>
          <w:b/>
          <w:sz w:val="20"/>
          <w:szCs w:val="20"/>
        </w:rPr>
        <w:t>d</w:t>
      </w:r>
      <w:r w:rsidR="00284C4D">
        <w:rPr>
          <w:rFonts w:ascii="Arial" w:hAnsi="Arial" w:cs="Arial"/>
          <w:b/>
          <w:sz w:val="20"/>
          <w:szCs w:val="20"/>
        </w:rPr>
        <w:t>’organisation</w:t>
      </w:r>
      <w:r w:rsidR="00284C4D" w:rsidRPr="00156E0C">
        <w:rPr>
          <w:rFonts w:ascii="Arial" w:hAnsi="Arial" w:cs="Arial"/>
          <w:b/>
          <w:sz w:val="20"/>
          <w:szCs w:val="20"/>
        </w:rPr>
        <w:t> </w:t>
      </w:r>
      <w:r w:rsidRPr="00156E0C">
        <w:rPr>
          <w:rFonts w:ascii="Arial" w:hAnsi="Arial" w:cs="Arial"/>
          <w:b/>
          <w:sz w:val="20"/>
          <w:szCs w:val="20"/>
        </w:rPr>
        <w:t>:</w:t>
      </w:r>
    </w:p>
    <w:p w14:paraId="4E3F111C" w14:textId="445AEE4F" w:rsidR="00284C4D" w:rsidRPr="00284C4D" w:rsidRDefault="003D203A" w:rsidP="00284C4D">
      <w:pPr>
        <w:pStyle w:val="Paragraphedeliste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56E0C">
        <w:rPr>
          <w:rFonts w:ascii="Arial" w:hAnsi="Arial" w:cs="Arial"/>
          <w:sz w:val="20"/>
          <w:szCs w:val="20"/>
        </w:rPr>
        <w:t>Dans chaque groupe, chaque élève occupe une fonction (observation, manipulation, prise de note, dessins, vidéos, etc...).</w:t>
      </w:r>
    </w:p>
    <w:p w14:paraId="39620A10" w14:textId="511624A2" w:rsidR="00284C4D" w:rsidRDefault="00284C4D" w:rsidP="00834832">
      <w:pPr>
        <w:pStyle w:val="Paragraphedeliste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 des temps :</w:t>
      </w:r>
    </w:p>
    <w:p w14:paraId="7C17D136" w14:textId="77777777" w:rsidR="00284C4D" w:rsidRPr="00B028D7" w:rsidRDefault="00284C4D" w:rsidP="00284C4D">
      <w:pPr>
        <w:numPr>
          <w:ilvl w:val="1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028D7">
        <w:rPr>
          <w:rFonts w:ascii="Arial" w:hAnsi="Arial" w:cs="Arial"/>
          <w:sz w:val="20"/>
          <w:szCs w:val="20"/>
        </w:rPr>
        <w:lastRenderedPageBreak/>
        <w:t>temps collectifs (présentation du projet, des activités, mutualisation/restitution),</w:t>
      </w:r>
    </w:p>
    <w:p w14:paraId="38C20139" w14:textId="77777777" w:rsidR="00284C4D" w:rsidRPr="00B028D7" w:rsidRDefault="00284C4D" w:rsidP="00284C4D">
      <w:pPr>
        <w:numPr>
          <w:ilvl w:val="1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028D7">
        <w:rPr>
          <w:rFonts w:ascii="Arial" w:hAnsi="Arial" w:cs="Arial"/>
          <w:sz w:val="20"/>
          <w:szCs w:val="20"/>
        </w:rPr>
        <w:t>temps d’activité sur le terrain (observation, photos, dessins, « chasse au trésor », …),</w:t>
      </w:r>
    </w:p>
    <w:p w14:paraId="59884D7E" w14:textId="324F0544" w:rsidR="00284C4D" w:rsidRPr="00284C4D" w:rsidRDefault="00284C4D" w:rsidP="00284C4D">
      <w:pPr>
        <w:numPr>
          <w:ilvl w:val="1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028D7">
        <w:rPr>
          <w:rFonts w:ascii="Arial" w:hAnsi="Arial" w:cs="Arial"/>
          <w:sz w:val="20"/>
          <w:szCs w:val="20"/>
        </w:rPr>
        <w:t>temps d’activité avant le départ et après le retour (organisation/recensement de ce qui a été fait sur le terrain – mise en forme – préparation des restitutions – échanges/débats) ;</w:t>
      </w:r>
    </w:p>
    <w:p w14:paraId="6347511F" w14:textId="77777777" w:rsidR="00834832" w:rsidRDefault="00834832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4A6279A" w14:textId="77777777" w:rsidR="00426F4B" w:rsidRPr="00426F4B" w:rsidRDefault="00426F4B" w:rsidP="00426F4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F4B">
        <w:rPr>
          <w:rFonts w:ascii="Arial" w:hAnsi="Arial" w:cs="Arial"/>
          <w:b/>
          <w:sz w:val="20"/>
          <w:szCs w:val="20"/>
        </w:rPr>
        <w:t>Supports qui seront mis à disposition par le MENJ d’ici l’été :</w:t>
      </w:r>
    </w:p>
    <w:p w14:paraId="4549ECCD" w14:textId="77777777" w:rsidR="00426F4B" w:rsidRPr="00426F4B" w:rsidRDefault="00426F4B" w:rsidP="00426F4B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26F4B">
        <w:rPr>
          <w:rFonts w:ascii="Arial" w:hAnsi="Arial" w:cs="Arial"/>
          <w:sz w:val="20"/>
          <w:szCs w:val="20"/>
        </w:rPr>
        <w:t xml:space="preserve">livret pour les animateurs/encadrants ou supports pédagogiques numériques, avec des exemples d’activités et de scénarios </w:t>
      </w:r>
    </w:p>
    <w:p w14:paraId="400E549B" w14:textId="77777777" w:rsidR="00426F4B" w:rsidRPr="00426F4B" w:rsidRDefault="00426F4B" w:rsidP="00426F4B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26F4B">
        <w:rPr>
          <w:rFonts w:ascii="Arial" w:hAnsi="Arial" w:cs="Arial"/>
          <w:sz w:val="20"/>
          <w:szCs w:val="20"/>
        </w:rPr>
        <w:t>portfolio</w:t>
      </w:r>
    </w:p>
    <w:p w14:paraId="00D099E0" w14:textId="77777777" w:rsidR="00426F4B" w:rsidRPr="00426F4B" w:rsidRDefault="00426F4B" w:rsidP="00426F4B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26F4B">
        <w:rPr>
          <w:rFonts w:ascii="Arial" w:hAnsi="Arial" w:cs="Arial"/>
          <w:sz w:val="20"/>
          <w:szCs w:val="20"/>
        </w:rPr>
        <w:t>boite à outils en ligne :</w:t>
      </w:r>
    </w:p>
    <w:p w14:paraId="5DABD880" w14:textId="77777777" w:rsidR="00426F4B" w:rsidRDefault="00426F4B" w:rsidP="00426F4B">
      <w:pPr>
        <w:numPr>
          <w:ilvl w:val="1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26F4B">
        <w:rPr>
          <w:rFonts w:ascii="Arial" w:hAnsi="Arial" w:cs="Arial"/>
          <w:sz w:val="20"/>
          <w:szCs w:val="20"/>
        </w:rPr>
        <w:t>pour s’informer : des ressources fournies par les partenaires nationaux de l’EDD et les partenaires associatifs ou institutionnels locaux,</w:t>
      </w:r>
    </w:p>
    <w:p w14:paraId="24FD272F" w14:textId="249D9433" w:rsidR="00426F4B" w:rsidRPr="00DA14C7" w:rsidRDefault="00426F4B" w:rsidP="00DA14C7">
      <w:pPr>
        <w:pStyle w:val="Paragraphedeliste"/>
        <w:numPr>
          <w:ilvl w:val="1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A14C7">
        <w:rPr>
          <w:rFonts w:ascii="Arial" w:hAnsi="Arial" w:cs="Arial"/>
          <w:sz w:val="20"/>
          <w:szCs w:val="20"/>
        </w:rPr>
        <w:t>pour communiquer et réaliser la production finale : méthode et moyen pour un diaporama, une capsule vidéo, un traitement d’image, un journal, etc</w:t>
      </w:r>
    </w:p>
    <w:p w14:paraId="1ED4F28B" w14:textId="77777777" w:rsidR="00426F4B" w:rsidRPr="00156E0C" w:rsidRDefault="00426F4B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FFFCCF" w14:textId="77777777" w:rsidR="00260ACA" w:rsidRPr="00156E0C" w:rsidRDefault="00785D47" w:rsidP="00834832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6E0C">
        <w:rPr>
          <w:rFonts w:ascii="Arial" w:hAnsi="Arial" w:cs="Arial"/>
          <w:b/>
          <w:sz w:val="20"/>
          <w:szCs w:val="20"/>
        </w:rPr>
        <w:t>Financement :</w:t>
      </w:r>
    </w:p>
    <w:p w14:paraId="14927648" w14:textId="64A50EED" w:rsidR="002A51F7" w:rsidRPr="00156E0C" w:rsidRDefault="001868A7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56E0C">
        <w:rPr>
          <w:rFonts w:ascii="Arial" w:hAnsi="Arial" w:cs="Arial"/>
          <w:sz w:val="20"/>
          <w:szCs w:val="20"/>
        </w:rPr>
        <w:t>Le</w:t>
      </w:r>
      <w:r w:rsidR="00260ACA" w:rsidRPr="00156E0C">
        <w:rPr>
          <w:rFonts w:ascii="Arial" w:hAnsi="Arial" w:cs="Arial"/>
          <w:sz w:val="20"/>
          <w:szCs w:val="20"/>
        </w:rPr>
        <w:t xml:space="preserve"> financement </w:t>
      </w:r>
      <w:r w:rsidRPr="00156E0C">
        <w:rPr>
          <w:rFonts w:ascii="Arial" w:hAnsi="Arial" w:cs="Arial"/>
          <w:sz w:val="20"/>
          <w:szCs w:val="20"/>
        </w:rPr>
        <w:t>est inclus dans celui</w:t>
      </w:r>
      <w:r w:rsidR="0069672F">
        <w:rPr>
          <w:rFonts w:ascii="Arial" w:hAnsi="Arial" w:cs="Arial"/>
          <w:sz w:val="20"/>
          <w:szCs w:val="20"/>
        </w:rPr>
        <w:t xml:space="preserve"> d’École ouverte</w:t>
      </w:r>
      <w:r w:rsidR="00C23C76">
        <w:rPr>
          <w:rFonts w:ascii="Arial" w:hAnsi="Arial" w:cs="Arial"/>
          <w:sz w:val="20"/>
          <w:szCs w:val="20"/>
        </w:rPr>
        <w:t>.</w:t>
      </w:r>
      <w:r w:rsidR="00654E17" w:rsidRPr="00156E0C">
        <w:rPr>
          <w:rFonts w:ascii="Arial" w:hAnsi="Arial" w:cs="Arial"/>
          <w:sz w:val="20"/>
          <w:szCs w:val="20"/>
        </w:rPr>
        <w:t xml:space="preserve"> </w:t>
      </w:r>
    </w:p>
    <w:p w14:paraId="42404741" w14:textId="10C27524" w:rsidR="009B28D3" w:rsidRPr="0028372D" w:rsidRDefault="00397AC3" w:rsidP="0028372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56E0C">
        <w:rPr>
          <w:rFonts w:ascii="Arial" w:hAnsi="Arial" w:cs="Arial"/>
          <w:sz w:val="20"/>
          <w:szCs w:val="20"/>
        </w:rPr>
        <w:t>A</w:t>
      </w:r>
      <w:r w:rsidR="00654E17" w:rsidRPr="00156E0C">
        <w:rPr>
          <w:rFonts w:ascii="Arial" w:hAnsi="Arial" w:cs="Arial"/>
          <w:sz w:val="20"/>
          <w:szCs w:val="20"/>
        </w:rPr>
        <w:t xml:space="preserve">fin de favoriser </w:t>
      </w:r>
      <w:r w:rsidR="00C34089" w:rsidRPr="00156E0C">
        <w:rPr>
          <w:rFonts w:ascii="Arial" w:hAnsi="Arial" w:cs="Arial"/>
          <w:sz w:val="20"/>
          <w:szCs w:val="20"/>
        </w:rPr>
        <w:t>l</w:t>
      </w:r>
      <w:r w:rsidR="00654E17" w:rsidRPr="00156E0C">
        <w:rPr>
          <w:rFonts w:ascii="Arial" w:hAnsi="Arial" w:cs="Arial"/>
          <w:sz w:val="20"/>
          <w:szCs w:val="20"/>
        </w:rPr>
        <w:t xml:space="preserve">e déploiement de ce dispositif, </w:t>
      </w:r>
      <w:r w:rsidR="009B28D3" w:rsidRPr="00156E0C">
        <w:rPr>
          <w:rFonts w:ascii="Arial" w:hAnsi="Arial" w:cs="Arial"/>
          <w:sz w:val="20"/>
          <w:szCs w:val="20"/>
        </w:rPr>
        <w:t>les services déconcentrés peuvent</w:t>
      </w:r>
      <w:r w:rsidR="00654E17" w:rsidRPr="00156E0C">
        <w:rPr>
          <w:rFonts w:ascii="Arial" w:hAnsi="Arial" w:cs="Arial"/>
          <w:sz w:val="20"/>
          <w:szCs w:val="20"/>
        </w:rPr>
        <w:t xml:space="preserve"> mettre en place des partenariats </w:t>
      </w:r>
      <w:r w:rsidR="00C34089" w:rsidRPr="00156E0C">
        <w:rPr>
          <w:rFonts w:ascii="Arial" w:hAnsi="Arial" w:cs="Arial"/>
          <w:sz w:val="20"/>
          <w:szCs w:val="20"/>
        </w:rPr>
        <w:t xml:space="preserve">académiques </w:t>
      </w:r>
      <w:r w:rsidR="00654E17" w:rsidRPr="00156E0C">
        <w:rPr>
          <w:rFonts w:ascii="Arial" w:hAnsi="Arial" w:cs="Arial"/>
          <w:sz w:val="20"/>
          <w:szCs w:val="20"/>
        </w:rPr>
        <w:t>ou régionaux  afin de proposer aux établissements une offre de séjours en lien avec des grands opérateurs (organisateurs de colonies de vacances, scouts)</w:t>
      </w:r>
      <w:r w:rsidR="00C34089" w:rsidRPr="00156E0C">
        <w:rPr>
          <w:rFonts w:ascii="Arial" w:hAnsi="Arial" w:cs="Arial"/>
          <w:sz w:val="20"/>
          <w:szCs w:val="20"/>
        </w:rPr>
        <w:t>, qui prendront en charge l’organisation du dispositif</w:t>
      </w:r>
      <w:r w:rsidR="00654E17" w:rsidRPr="00156E0C">
        <w:rPr>
          <w:rFonts w:ascii="Arial" w:hAnsi="Arial" w:cs="Arial"/>
          <w:sz w:val="20"/>
          <w:szCs w:val="20"/>
        </w:rPr>
        <w:t>.</w:t>
      </w:r>
      <w:r w:rsidR="00C34089" w:rsidRPr="00156E0C">
        <w:rPr>
          <w:rFonts w:ascii="Arial" w:hAnsi="Arial" w:cs="Arial"/>
          <w:sz w:val="20"/>
          <w:szCs w:val="20"/>
        </w:rPr>
        <w:t xml:space="preserve"> Dans cas, le financement de la partie </w:t>
      </w:r>
      <w:r w:rsidR="00F95C42">
        <w:rPr>
          <w:rFonts w:ascii="Arial" w:hAnsi="Arial" w:cs="Arial"/>
          <w:sz w:val="20"/>
          <w:szCs w:val="20"/>
        </w:rPr>
        <w:t>du séjour buissonnier</w:t>
      </w:r>
      <w:r w:rsidR="00C34089" w:rsidRPr="00156E0C">
        <w:rPr>
          <w:rFonts w:ascii="Arial" w:hAnsi="Arial" w:cs="Arial"/>
          <w:sz w:val="20"/>
          <w:szCs w:val="20"/>
        </w:rPr>
        <w:t xml:space="preserve"> (hébergement, frais de transport, excursions, intervenants autres que les</w:t>
      </w:r>
      <w:r w:rsidR="00B24990">
        <w:rPr>
          <w:rFonts w:ascii="Arial" w:hAnsi="Arial" w:cs="Arial"/>
          <w:sz w:val="20"/>
          <w:szCs w:val="20"/>
        </w:rPr>
        <w:t xml:space="preserve"> professeurs,  autres frais) peut être</w:t>
      </w:r>
      <w:r w:rsidR="00C34089" w:rsidRPr="00156E0C">
        <w:rPr>
          <w:rFonts w:ascii="Arial" w:hAnsi="Arial" w:cs="Arial"/>
          <w:sz w:val="20"/>
          <w:szCs w:val="20"/>
        </w:rPr>
        <w:t xml:space="preserve"> versé directement à l’opérateur </w:t>
      </w:r>
      <w:r w:rsidR="0017112F">
        <w:rPr>
          <w:rFonts w:ascii="Arial" w:hAnsi="Arial" w:cs="Arial"/>
          <w:sz w:val="20"/>
          <w:szCs w:val="20"/>
        </w:rPr>
        <w:t>p</w:t>
      </w:r>
      <w:r w:rsidR="00C34089" w:rsidRPr="0028372D">
        <w:rPr>
          <w:rFonts w:ascii="Arial" w:hAnsi="Arial" w:cs="Arial"/>
          <w:sz w:val="20"/>
          <w:szCs w:val="20"/>
        </w:rPr>
        <w:t>ar les autorités académiques</w:t>
      </w:r>
      <w:r w:rsidR="00795E8D" w:rsidRPr="0028372D">
        <w:rPr>
          <w:rFonts w:ascii="Arial" w:hAnsi="Arial" w:cs="Arial"/>
          <w:sz w:val="20"/>
          <w:szCs w:val="20"/>
        </w:rPr>
        <w:t>,</w:t>
      </w:r>
      <w:r w:rsidR="00C34089" w:rsidRPr="0028372D">
        <w:rPr>
          <w:rFonts w:ascii="Arial" w:hAnsi="Arial" w:cs="Arial"/>
          <w:sz w:val="20"/>
          <w:szCs w:val="20"/>
        </w:rPr>
        <w:t xml:space="preserve"> sur le programme 230 Vie de l’élève, adossé à un dispositif</w:t>
      </w:r>
      <w:r w:rsidR="00795E8D" w:rsidRPr="0028372D">
        <w:rPr>
          <w:rFonts w:ascii="Arial" w:hAnsi="Arial" w:cs="Arial"/>
          <w:sz w:val="20"/>
          <w:szCs w:val="20"/>
        </w:rPr>
        <w:t xml:space="preserve"> Ecole ouverte</w:t>
      </w:r>
      <w:r w:rsidR="0017112F">
        <w:rPr>
          <w:rFonts w:ascii="Arial" w:hAnsi="Arial" w:cs="Arial"/>
          <w:sz w:val="20"/>
          <w:szCs w:val="20"/>
        </w:rPr>
        <w:t>.</w:t>
      </w:r>
    </w:p>
    <w:p w14:paraId="51D05CE8" w14:textId="77777777" w:rsidR="00834832" w:rsidRPr="00156E0C" w:rsidRDefault="00834832" w:rsidP="009B28D3">
      <w:pPr>
        <w:pStyle w:val="Paragraphedeliste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890553" w14:textId="77777777" w:rsidR="00834832" w:rsidRPr="00156E0C" w:rsidRDefault="00834832" w:rsidP="00834832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6E0C">
        <w:rPr>
          <w:rFonts w:ascii="Arial" w:hAnsi="Arial" w:cs="Arial"/>
          <w:b/>
          <w:sz w:val="20"/>
          <w:szCs w:val="20"/>
        </w:rPr>
        <w:t>Calendrier :</w:t>
      </w:r>
    </w:p>
    <w:p w14:paraId="0D6CE937" w14:textId="611914E4" w:rsidR="00834832" w:rsidRPr="00156E0C" w:rsidRDefault="00834832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56E0C">
        <w:rPr>
          <w:rFonts w:ascii="Arial" w:hAnsi="Arial" w:cs="Arial"/>
          <w:sz w:val="20"/>
          <w:szCs w:val="20"/>
        </w:rPr>
        <w:t xml:space="preserve">L’appel à </w:t>
      </w:r>
      <w:r w:rsidR="00230589">
        <w:rPr>
          <w:rFonts w:ascii="Arial" w:hAnsi="Arial" w:cs="Arial"/>
          <w:sz w:val="20"/>
          <w:szCs w:val="20"/>
        </w:rPr>
        <w:t>projet</w:t>
      </w:r>
      <w:r w:rsidRPr="00156E0C">
        <w:rPr>
          <w:rFonts w:ascii="Arial" w:hAnsi="Arial" w:cs="Arial"/>
          <w:sz w:val="20"/>
          <w:szCs w:val="20"/>
        </w:rPr>
        <w:t xml:space="preserve"> pour les structures proposant un</w:t>
      </w:r>
      <w:r w:rsidR="00230589">
        <w:rPr>
          <w:rFonts w:ascii="Arial" w:hAnsi="Arial" w:cs="Arial"/>
          <w:sz w:val="20"/>
          <w:szCs w:val="20"/>
        </w:rPr>
        <w:t>e</w:t>
      </w:r>
      <w:r w:rsidRPr="00156E0C">
        <w:rPr>
          <w:rFonts w:ascii="Arial" w:hAnsi="Arial" w:cs="Arial"/>
          <w:sz w:val="20"/>
          <w:szCs w:val="20"/>
        </w:rPr>
        <w:t xml:space="preserve"> </w:t>
      </w:r>
      <w:r w:rsidR="00230589" w:rsidRPr="00230589">
        <w:rPr>
          <w:rFonts w:ascii="Arial" w:hAnsi="Arial" w:cs="Arial"/>
          <w:sz w:val="20"/>
          <w:szCs w:val="20"/>
        </w:rPr>
        <w:t xml:space="preserve">École ouverte buissonnière </w:t>
      </w:r>
      <w:r w:rsidRPr="00156E0C">
        <w:rPr>
          <w:rFonts w:ascii="Arial" w:hAnsi="Arial" w:cs="Arial"/>
          <w:sz w:val="20"/>
          <w:szCs w:val="20"/>
        </w:rPr>
        <w:t xml:space="preserve">est lancé auprès des acteurs locaux identifiés </w:t>
      </w:r>
      <w:r w:rsidR="00547480" w:rsidRPr="00156E0C">
        <w:rPr>
          <w:rFonts w:ascii="Arial" w:hAnsi="Arial" w:cs="Arial"/>
          <w:sz w:val="20"/>
          <w:szCs w:val="20"/>
        </w:rPr>
        <w:t>dès que possible</w:t>
      </w:r>
      <w:r w:rsidRPr="00156E0C">
        <w:rPr>
          <w:rFonts w:ascii="Arial" w:hAnsi="Arial" w:cs="Arial"/>
          <w:sz w:val="20"/>
          <w:szCs w:val="20"/>
        </w:rPr>
        <w:t xml:space="preserve"> (selon les éléments sanitaires connus</w:t>
      </w:r>
      <w:r w:rsidR="00B24990">
        <w:rPr>
          <w:rFonts w:ascii="Arial" w:hAnsi="Arial" w:cs="Arial"/>
          <w:sz w:val="20"/>
          <w:szCs w:val="20"/>
        </w:rPr>
        <w:t>).</w:t>
      </w:r>
    </w:p>
    <w:p w14:paraId="1159471E" w14:textId="77777777" w:rsidR="00654E17" w:rsidRPr="00156E0C" w:rsidRDefault="00654E17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90A0744" w14:textId="451E331F" w:rsidR="00654E17" w:rsidRPr="00156E0C" w:rsidRDefault="00654E17" w:rsidP="0083483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654E17" w:rsidRPr="00156E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73A8C" w14:textId="77777777" w:rsidR="00106684" w:rsidRDefault="00106684" w:rsidP="00834832">
      <w:pPr>
        <w:spacing w:after="0" w:line="240" w:lineRule="auto"/>
      </w:pPr>
      <w:r>
        <w:separator/>
      </w:r>
    </w:p>
  </w:endnote>
  <w:endnote w:type="continuationSeparator" w:id="0">
    <w:p w14:paraId="6F6E2419" w14:textId="77777777" w:rsidR="00106684" w:rsidRDefault="00106684" w:rsidP="0083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718384"/>
      <w:docPartObj>
        <w:docPartGallery w:val="Page Numbers (Bottom of Page)"/>
        <w:docPartUnique/>
      </w:docPartObj>
    </w:sdtPr>
    <w:sdtEndPr/>
    <w:sdtContent>
      <w:p w14:paraId="1D62EE94" w14:textId="70B83D69" w:rsidR="00B24990" w:rsidRDefault="00B249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2F">
          <w:rPr>
            <w:noProof/>
          </w:rPr>
          <w:t>3</w:t>
        </w:r>
        <w:r>
          <w:fldChar w:fldCharType="end"/>
        </w:r>
      </w:p>
    </w:sdtContent>
  </w:sdt>
  <w:p w14:paraId="151DD3D7" w14:textId="77777777" w:rsidR="00B24990" w:rsidRDefault="00B249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06CC" w14:textId="77777777" w:rsidR="00106684" w:rsidRDefault="00106684" w:rsidP="00834832">
      <w:pPr>
        <w:spacing w:after="0" w:line="240" w:lineRule="auto"/>
      </w:pPr>
      <w:r>
        <w:separator/>
      </w:r>
    </w:p>
  </w:footnote>
  <w:footnote w:type="continuationSeparator" w:id="0">
    <w:p w14:paraId="36903674" w14:textId="77777777" w:rsidR="00106684" w:rsidRDefault="00106684" w:rsidP="00834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B0A"/>
    <w:multiLevelType w:val="hybridMultilevel"/>
    <w:tmpl w:val="806AD5DC"/>
    <w:lvl w:ilvl="0" w:tplc="133EA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E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B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4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C7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69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E2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8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62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16A46"/>
    <w:multiLevelType w:val="hybridMultilevel"/>
    <w:tmpl w:val="87BA4A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726E9"/>
    <w:multiLevelType w:val="hybridMultilevel"/>
    <w:tmpl w:val="DB20D5E8"/>
    <w:lvl w:ilvl="0" w:tplc="E2D24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B4B8">
      <w:start w:val="3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E5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0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04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08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64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8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7035F5"/>
    <w:multiLevelType w:val="hybridMultilevel"/>
    <w:tmpl w:val="E6F4D840"/>
    <w:lvl w:ilvl="0" w:tplc="A3683E9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E410B"/>
    <w:multiLevelType w:val="hybridMultilevel"/>
    <w:tmpl w:val="00EA72C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6C6161"/>
    <w:multiLevelType w:val="hybridMultilevel"/>
    <w:tmpl w:val="1B90C45A"/>
    <w:lvl w:ilvl="0" w:tplc="A00EC2F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20AC"/>
    <w:multiLevelType w:val="hybridMultilevel"/>
    <w:tmpl w:val="5F2C83F2"/>
    <w:lvl w:ilvl="0" w:tplc="BB30971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F0DEC"/>
    <w:multiLevelType w:val="hybridMultilevel"/>
    <w:tmpl w:val="74ECF4A0"/>
    <w:lvl w:ilvl="0" w:tplc="11B6FAB8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3442"/>
    <w:multiLevelType w:val="hybridMultilevel"/>
    <w:tmpl w:val="BCB27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91775"/>
    <w:multiLevelType w:val="hybridMultilevel"/>
    <w:tmpl w:val="3278B682"/>
    <w:lvl w:ilvl="0" w:tplc="BB30971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C14DF"/>
    <w:multiLevelType w:val="hybridMultilevel"/>
    <w:tmpl w:val="F4E6BF1C"/>
    <w:lvl w:ilvl="0" w:tplc="E6CA6CF2">
      <w:start w:val="16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7A0F33"/>
    <w:multiLevelType w:val="hybridMultilevel"/>
    <w:tmpl w:val="43A696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A83D87"/>
    <w:multiLevelType w:val="hybridMultilevel"/>
    <w:tmpl w:val="D890ABA4"/>
    <w:lvl w:ilvl="0" w:tplc="1D7C775E">
      <w:start w:val="1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D05A4"/>
    <w:multiLevelType w:val="hybridMultilevel"/>
    <w:tmpl w:val="42148B06"/>
    <w:lvl w:ilvl="0" w:tplc="BB309714">
      <w:start w:val="1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F634AAC"/>
    <w:multiLevelType w:val="hybridMultilevel"/>
    <w:tmpl w:val="C4D4A9A8"/>
    <w:lvl w:ilvl="0" w:tplc="0A5CC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220C2">
      <w:start w:val="10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0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2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C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3A"/>
    <w:rsid w:val="00025AA6"/>
    <w:rsid w:val="0006612B"/>
    <w:rsid w:val="00083498"/>
    <w:rsid w:val="000851AC"/>
    <w:rsid w:val="00092E24"/>
    <w:rsid w:val="000B3698"/>
    <w:rsid w:val="000E7762"/>
    <w:rsid w:val="000F0A20"/>
    <w:rsid w:val="00106684"/>
    <w:rsid w:val="00106F6E"/>
    <w:rsid w:val="00115C5B"/>
    <w:rsid w:val="00156E0C"/>
    <w:rsid w:val="00157118"/>
    <w:rsid w:val="0017112F"/>
    <w:rsid w:val="001868A7"/>
    <w:rsid w:val="00194C43"/>
    <w:rsid w:val="001A1B12"/>
    <w:rsid w:val="001E011F"/>
    <w:rsid w:val="00207656"/>
    <w:rsid w:val="00215CAA"/>
    <w:rsid w:val="00230589"/>
    <w:rsid w:val="002535B7"/>
    <w:rsid w:val="002552A9"/>
    <w:rsid w:val="00260ACA"/>
    <w:rsid w:val="00276106"/>
    <w:rsid w:val="00281CFA"/>
    <w:rsid w:val="0028372D"/>
    <w:rsid w:val="00284C4D"/>
    <w:rsid w:val="00290F81"/>
    <w:rsid w:val="002A51F7"/>
    <w:rsid w:val="002E32C8"/>
    <w:rsid w:val="002F5EF8"/>
    <w:rsid w:val="00314177"/>
    <w:rsid w:val="00351B1F"/>
    <w:rsid w:val="0038586C"/>
    <w:rsid w:val="003873C1"/>
    <w:rsid w:val="00397AC3"/>
    <w:rsid w:val="003A05CB"/>
    <w:rsid w:val="003D203A"/>
    <w:rsid w:val="00406FC6"/>
    <w:rsid w:val="004163EC"/>
    <w:rsid w:val="00421AD0"/>
    <w:rsid w:val="00426F4B"/>
    <w:rsid w:val="00430D89"/>
    <w:rsid w:val="00430ECF"/>
    <w:rsid w:val="00441858"/>
    <w:rsid w:val="004506EE"/>
    <w:rsid w:val="00450823"/>
    <w:rsid w:val="004657ED"/>
    <w:rsid w:val="00480D19"/>
    <w:rsid w:val="00483861"/>
    <w:rsid w:val="004A7BD5"/>
    <w:rsid w:val="004C089D"/>
    <w:rsid w:val="004F3F8C"/>
    <w:rsid w:val="00547480"/>
    <w:rsid w:val="0055751C"/>
    <w:rsid w:val="00566A1A"/>
    <w:rsid w:val="005A1E46"/>
    <w:rsid w:val="005A3817"/>
    <w:rsid w:val="005A4420"/>
    <w:rsid w:val="00602806"/>
    <w:rsid w:val="006035D2"/>
    <w:rsid w:val="0061209A"/>
    <w:rsid w:val="00653457"/>
    <w:rsid w:val="00654E17"/>
    <w:rsid w:val="00656D32"/>
    <w:rsid w:val="0067075F"/>
    <w:rsid w:val="00675DC1"/>
    <w:rsid w:val="00680838"/>
    <w:rsid w:val="00683CFA"/>
    <w:rsid w:val="0069672F"/>
    <w:rsid w:val="006A48A7"/>
    <w:rsid w:val="006D48F9"/>
    <w:rsid w:val="006E5AFE"/>
    <w:rsid w:val="0070598E"/>
    <w:rsid w:val="00712DDF"/>
    <w:rsid w:val="007308CB"/>
    <w:rsid w:val="00730B80"/>
    <w:rsid w:val="007322D0"/>
    <w:rsid w:val="007326C1"/>
    <w:rsid w:val="00735E74"/>
    <w:rsid w:val="00744BBC"/>
    <w:rsid w:val="00764AE9"/>
    <w:rsid w:val="00775154"/>
    <w:rsid w:val="0078088C"/>
    <w:rsid w:val="0078157B"/>
    <w:rsid w:val="00785D47"/>
    <w:rsid w:val="00795E8D"/>
    <w:rsid w:val="007A2D69"/>
    <w:rsid w:val="007D11B5"/>
    <w:rsid w:val="00832D84"/>
    <w:rsid w:val="00834832"/>
    <w:rsid w:val="0085432D"/>
    <w:rsid w:val="008D1985"/>
    <w:rsid w:val="008D25E9"/>
    <w:rsid w:val="008E5263"/>
    <w:rsid w:val="00911B60"/>
    <w:rsid w:val="00943494"/>
    <w:rsid w:val="00983ED9"/>
    <w:rsid w:val="00986432"/>
    <w:rsid w:val="00986904"/>
    <w:rsid w:val="00994EB3"/>
    <w:rsid w:val="00997DEB"/>
    <w:rsid w:val="009B28D3"/>
    <w:rsid w:val="009F32A4"/>
    <w:rsid w:val="00A00A74"/>
    <w:rsid w:val="00A03071"/>
    <w:rsid w:val="00A044C0"/>
    <w:rsid w:val="00A139AC"/>
    <w:rsid w:val="00A148A8"/>
    <w:rsid w:val="00A30117"/>
    <w:rsid w:val="00A40C96"/>
    <w:rsid w:val="00A56227"/>
    <w:rsid w:val="00AB7BE2"/>
    <w:rsid w:val="00B028D7"/>
    <w:rsid w:val="00B07D55"/>
    <w:rsid w:val="00B2434F"/>
    <w:rsid w:val="00B24990"/>
    <w:rsid w:val="00B41E58"/>
    <w:rsid w:val="00B55E04"/>
    <w:rsid w:val="00B572FD"/>
    <w:rsid w:val="00B618EB"/>
    <w:rsid w:val="00B700B1"/>
    <w:rsid w:val="00B761F7"/>
    <w:rsid w:val="00B91A29"/>
    <w:rsid w:val="00B93991"/>
    <w:rsid w:val="00BE19F3"/>
    <w:rsid w:val="00BF01D0"/>
    <w:rsid w:val="00C032C5"/>
    <w:rsid w:val="00C12DB3"/>
    <w:rsid w:val="00C23C76"/>
    <w:rsid w:val="00C316B0"/>
    <w:rsid w:val="00C34089"/>
    <w:rsid w:val="00C759F5"/>
    <w:rsid w:val="00C91E8E"/>
    <w:rsid w:val="00CA6ECB"/>
    <w:rsid w:val="00CC6D40"/>
    <w:rsid w:val="00CE1C12"/>
    <w:rsid w:val="00D12B7F"/>
    <w:rsid w:val="00D141F5"/>
    <w:rsid w:val="00D30297"/>
    <w:rsid w:val="00D73E62"/>
    <w:rsid w:val="00DA14C7"/>
    <w:rsid w:val="00DA545B"/>
    <w:rsid w:val="00DA7CA9"/>
    <w:rsid w:val="00DB5741"/>
    <w:rsid w:val="00E06D4C"/>
    <w:rsid w:val="00E2544D"/>
    <w:rsid w:val="00E30DD7"/>
    <w:rsid w:val="00EA0FC5"/>
    <w:rsid w:val="00EA5726"/>
    <w:rsid w:val="00EB0C24"/>
    <w:rsid w:val="00ED4E2A"/>
    <w:rsid w:val="00F24325"/>
    <w:rsid w:val="00F4686F"/>
    <w:rsid w:val="00F57893"/>
    <w:rsid w:val="00F84163"/>
    <w:rsid w:val="00F9185A"/>
    <w:rsid w:val="00F9547A"/>
    <w:rsid w:val="00F95C42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622"/>
  <w15:docId w15:val="{A9E6C414-79F4-4369-B6D0-C9D780D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E52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832"/>
  </w:style>
  <w:style w:type="paragraph" w:styleId="Pieddepage">
    <w:name w:val="footer"/>
    <w:basedOn w:val="Normal"/>
    <w:link w:val="PieddepageCar"/>
    <w:uiPriority w:val="99"/>
    <w:unhideWhenUsed/>
    <w:rsid w:val="0083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832"/>
  </w:style>
  <w:style w:type="paragraph" w:styleId="Textedebulles">
    <w:name w:val="Balloon Text"/>
    <w:basedOn w:val="Normal"/>
    <w:link w:val="TextedebullesCar"/>
    <w:uiPriority w:val="99"/>
    <w:semiHidden/>
    <w:unhideWhenUsed/>
    <w:rsid w:val="0098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90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535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35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35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35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35B7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808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27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4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84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90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3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26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F16F-9F98-4A21-9926-37453CD2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LAMARQUE, Mathias (DJEPVA/DJEPVA B/DJEPVA B3)</dc:creator>
  <cp:lastModifiedBy>La JPA</cp:lastModifiedBy>
  <cp:revision>2</cp:revision>
  <cp:lastPrinted>2020-05-29T14:41:00Z</cp:lastPrinted>
  <dcterms:created xsi:type="dcterms:W3CDTF">2020-06-10T13:28:00Z</dcterms:created>
  <dcterms:modified xsi:type="dcterms:W3CDTF">2020-06-10T13:28:00Z</dcterms:modified>
</cp:coreProperties>
</file>